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77080320"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640512" w:rsidRPr="00D348C0" w:rsidRDefault="00640512" w:rsidP="009539E3">
                            <w:pPr>
                              <w:rPr>
                                <w:bCs/>
                                <w:color w:val="auto"/>
                              </w:rPr>
                            </w:pPr>
                            <w:r w:rsidRPr="00D348C0">
                              <w:rPr>
                                <w:bCs/>
                                <w:color w:val="auto"/>
                              </w:rPr>
                              <w:t xml:space="preserve">Before completing this template, read the Education Endowment Foundation’s guidance on </w:t>
                            </w:r>
                            <w:hyperlink r:id="rId10" w:history="1">
                              <w:r w:rsidRPr="00D348C0">
                                <w:rPr>
                                  <w:rStyle w:val="Hyperlink"/>
                                </w:rPr>
                                <w:t>using your pupil premium funding effectively</w:t>
                              </w:r>
                            </w:hyperlink>
                            <w:r w:rsidRPr="00D348C0">
                              <w:rPr>
                                <w:bCs/>
                                <w:color w:val="auto"/>
                              </w:rPr>
                              <w:t xml:space="preserve"> and DfE’s </w:t>
                            </w:r>
                            <w:hyperlink r:id="rId11" w:history="1">
                              <w:r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640512" w:rsidRPr="00D348C0" w:rsidRDefault="00640512" w:rsidP="00F33DC0">
                            <w:bookmarkStart w:id="5" w:name="_Hlk117600237"/>
                            <w:r w:rsidRPr="00D348C0">
                              <w:t>All schools that receive pupil premium (and recovery premium) are required to use this template to complete and publish a pupil premium statement on their school website by 31 December every academic year.</w:t>
                            </w:r>
                          </w:p>
                          <w:p w14:paraId="5C77A3F6" w14:textId="4E035382" w:rsidR="00640512" w:rsidRPr="00D348C0" w:rsidRDefault="00640512" w:rsidP="00D877D0">
                            <w:r w:rsidRPr="00D348C0">
                              <w:t xml:space="preserve">If you are starting a new pupil premium strategy plan, use this blank template. If you are continuing a strategy plan from last academic year, you may prefer to edit your </w:t>
                            </w:r>
                            <w:bookmarkEnd w:id="5"/>
                            <w:r w:rsidRPr="00D348C0">
                              <w:t xml:space="preserve">existing statement, if that version was published using the template. </w:t>
                            </w:r>
                          </w:p>
                          <w:p w14:paraId="2A7D54B6" w14:textId="6B6F3880" w:rsidR="00640512" w:rsidRPr="00D348C0" w:rsidRDefault="00640512">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lBUAIAALoEAAAOAAAAZHJzL2Uyb0RvYy54bWysVNmu2jAQfa/Uf7D8DlkIIUSEK5ZSVbpq&#10;K3H7AcZxSKTEdm1DQqv+e8dOWG7bh6oqCMcz4xyfMwuLp66p0ZkpXQme4WDsY8Q4FXnFjxn+8rIb&#10;JRhpQ3hOasFZhi9M46fl2zeLVqYsFKWoc6YQgHCdtjLDpTEy9TxNS9YQPRaScQgWQjXEgKmOXq5I&#10;C+hN7YW+H3utULlUgjKtwbvtg3jp8IuCUfOpKDQzqM4wcDNuVW492NVbLkh6VESWFR1okH9g0ZCK&#10;w6U3qC0xBJ1U9RtUU1EltCjMmIrGE0VRUeY0gJrA/0XNviSSOS2QHC1vadL/D5Z+PH9WqMqhdhhx&#10;0kCJXlhn0Fp0KHCKwHrWxmqzfqfp+yZIJtvZLh6to3kyiibryWgeJetRMAuT9TRcreJ30Q/7ds5o&#10;Cj+hiKnO7Jpg8PydgqHWNjcz746D0ZlAPQNbPc/xuj4dU6+VOnXCbBu47V6CStOBquE169fgtLq6&#10;QjX2CdVAEIc2udxaw2qm4Iz9II7DKUYUYpNwFse+ax64/vq6VNq8Z6JBdpNhBb3nEkjOwKpnej1i&#10;b9OirvJdVdfOUMfDpla9rl1ov4O4V8dqjtoMz6dh4pBfxfQjhO8+f4KwFLZEl/1VDmE4VnPI4j0v&#10;dme6QwfM7fYg8gvkEEYdtJVCfcOohbHJsP56IophVH/g0JfzIIrsnDkjms5CMNRj5PAYIZwCVIap&#10;URj1xsb00wnjIYl55nsJveI7uVysTkYUlUvmndPAGgbEdcEwzHYCH2136v6Xs/wJAAD//wMAUEsD&#10;BBQABgAIAAAAIQBqsHBN3wAAAAgBAAAPAAAAZHJzL2Rvd25yZXYueG1sTI/BTsMwEETvSPyDtUjc&#10;qJNQUhriVKgSEkJcKFTi6MTbOGq8jmKnDXw9ywmOs7OaeVNuZteLE46h86QgXSQgkBpvOmoVfLw/&#10;3dyDCFGT0b0nVPCFATbV5UWpC+PP9IanXWwFh1AotAIb41BIGRqLToeFH5DYO/jR6chybKUZ9ZnD&#10;XS+zJMml0x1xg9UDbi02x93kFHx+z2m9jK+HZ9zb7KVpp357nJS6vpofH0BEnOPfM/ziMzpUzFT7&#10;iUwQvQIeEvma3uYg2F4vV3cgagV5ts5BVqX8P6D6AQAA//8DAFBLAQItABQABgAIAAAAIQC2gziS&#10;/gAAAOEBAAATAAAAAAAAAAAAAAAAAAAAAABbQ29udGVudF9UeXBlc10ueG1sUEsBAi0AFAAGAAgA&#10;AAAhADj9If/WAAAAlAEAAAsAAAAAAAAAAAAAAAAALwEAAF9yZWxzLy5yZWxzUEsBAi0AFAAGAAgA&#10;AAAhAAjvuUFQAgAAugQAAA4AAAAAAAAAAAAAAAAALgIAAGRycy9lMm9Eb2MueG1sUEsBAi0AFAAG&#10;AAgAAAAhAGqwcE3fAAAACAEAAA8AAAAAAAAAAAAAAAAAqgQAAGRycy9kb3ducmV2LnhtbFBLBQYA&#10;AAAABAAEAPMAAAC2BQAAAAA=&#10;" fillcolor="#f2f2f2" strokeweight=".26467mm">
                <v:textbox>
                  <w:txbxContent>
                    <w:p w14:paraId="2EED2A16" w14:textId="4FFD1D2E" w:rsidR="00640512" w:rsidRPr="00D348C0" w:rsidRDefault="00640512" w:rsidP="009539E3">
                      <w:pPr>
                        <w:rPr>
                          <w:bCs/>
                          <w:color w:val="auto"/>
                        </w:rPr>
                      </w:pPr>
                      <w:r w:rsidRPr="00D348C0">
                        <w:rPr>
                          <w:bCs/>
                          <w:color w:val="auto"/>
                        </w:rPr>
                        <w:t xml:space="preserve">Before completing this template, read the Education Endowment Foundation’s guidance on </w:t>
                      </w:r>
                      <w:hyperlink r:id="rId12" w:history="1">
                        <w:r w:rsidRPr="00D348C0">
                          <w:rPr>
                            <w:rStyle w:val="Hyperlink"/>
                          </w:rPr>
                          <w:t>using your pupil premium funding effectively</w:t>
                        </w:r>
                      </w:hyperlink>
                      <w:r w:rsidRPr="00D348C0">
                        <w:rPr>
                          <w:bCs/>
                          <w:color w:val="auto"/>
                        </w:rPr>
                        <w:t xml:space="preserve"> and DfE’s </w:t>
                      </w:r>
                      <w:hyperlink r:id="rId13" w:history="1">
                        <w:r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640512" w:rsidRPr="00D348C0" w:rsidRDefault="00640512" w:rsidP="00F33DC0">
                      <w:bookmarkStart w:id="6" w:name="_Hlk117600237"/>
                      <w:r w:rsidRPr="00D348C0">
                        <w:t>All schools that receive pupil premium (and recovery premium) are required to use this template to complete and publish a pupil premium statement on their school website by 31 December every academic year.</w:t>
                      </w:r>
                    </w:p>
                    <w:p w14:paraId="5C77A3F6" w14:textId="4E035382" w:rsidR="00640512" w:rsidRPr="00D348C0" w:rsidRDefault="00640512" w:rsidP="00D877D0">
                      <w:r w:rsidRPr="00D348C0">
                        <w:t xml:space="preserve">If you are starting a new pupil premium strategy plan, use this blank template. If you are continuing a strategy plan from last academic year, you may prefer to edit your </w:t>
                      </w:r>
                      <w:bookmarkEnd w:id="6"/>
                      <w:r w:rsidRPr="00D348C0">
                        <w:t xml:space="preserve">existing statement, if that version was published using the template. </w:t>
                      </w:r>
                    </w:p>
                    <w:p w14:paraId="2A7D54B6" w14:textId="6B6F3880" w:rsidR="00640512" w:rsidRPr="00D348C0" w:rsidRDefault="00640512">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640512">
        <w:t xml:space="preserve">St </w:t>
      </w:r>
      <w:proofErr w:type="spellStart"/>
      <w:r w:rsidR="00640512">
        <w:t>Breward</w:t>
      </w:r>
      <w:proofErr w:type="spellEnd"/>
      <w:r w:rsidR="00640512">
        <w:t xml:space="preserve"> Community Primary School</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02CFD70" w:rsidR="002940F3" w:rsidRDefault="00640512">
            <w:pPr>
              <w:pStyle w:val="TableRow"/>
            </w:pPr>
            <w:r>
              <w:t>34</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2A15258" w:rsidR="002940F3" w:rsidRDefault="00FD4226">
            <w:pPr>
              <w:pStyle w:val="TableRow"/>
            </w:pPr>
            <w:r>
              <w:t>14.7%</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42746BF" w:rsidR="002940F3" w:rsidRDefault="00640512">
            <w:pPr>
              <w:pStyle w:val="TableRow"/>
            </w:pPr>
            <w:r>
              <w:t>2023/2024-2026/2027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EB7C109" w:rsidR="002940F3" w:rsidRDefault="00640512">
            <w:pPr>
              <w:pStyle w:val="TableRow"/>
            </w:pPr>
            <w:r>
              <w:t>November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1288E43" w:rsidR="002940F3" w:rsidRDefault="00640512">
            <w:pPr>
              <w:pStyle w:val="TableRow"/>
            </w:pPr>
            <w:r>
              <w:t>June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4A1DBA9" w:rsidR="002940F3" w:rsidRDefault="00640512">
            <w:pPr>
              <w:pStyle w:val="TableRow"/>
            </w:pPr>
            <w:r>
              <w:t>Ruth Moore</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1423F70" w:rsidR="002940F3" w:rsidRDefault="00640512">
            <w:pPr>
              <w:pStyle w:val="TableRow"/>
            </w:pPr>
            <w:r>
              <w:t>Ruth Moore</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777777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8214D6A" w:rsidR="00E66558" w:rsidRDefault="009D71E8">
            <w:pPr>
              <w:pStyle w:val="TableRow"/>
            </w:pPr>
            <w:r>
              <w:t>£</w:t>
            </w:r>
            <w:r w:rsidR="00570ED3">
              <w:t>11549</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FF0C57A" w:rsidR="00E66558" w:rsidRDefault="009D71E8">
            <w:pPr>
              <w:pStyle w:val="TableRow"/>
            </w:pPr>
            <w:r>
              <w:t>£</w:t>
            </w:r>
            <w:r w:rsidR="00570ED3">
              <w:t>2000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2D48992" w:rsidR="00E66558" w:rsidRDefault="009D71E8">
            <w:pPr>
              <w:pStyle w:val="TableRow"/>
            </w:pPr>
            <w:r>
              <w:t>£</w:t>
            </w:r>
            <w:r w:rsidR="00570ED3">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C54F0D5" w:rsidR="00E66558" w:rsidRDefault="009D71E8">
            <w:pPr>
              <w:pStyle w:val="TableRow"/>
            </w:pPr>
            <w:r>
              <w:t>£</w:t>
            </w:r>
            <w:r w:rsidR="00570ED3">
              <w:t>13549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pPr>
              <w:spacing w:before="120"/>
              <w:rPr>
                <w:i/>
                <w:iCs/>
              </w:rPr>
            </w:pPr>
            <w:r>
              <w:rPr>
                <w:i/>
                <w:iCs/>
              </w:rPr>
              <w:t>You may want to include information on:</w:t>
            </w:r>
          </w:p>
          <w:p w14:paraId="2A7D54E7" w14:textId="674D549C" w:rsidR="00E66558" w:rsidRDefault="009D71E8">
            <w:pPr>
              <w:pStyle w:val="ListParagraph"/>
              <w:numPr>
                <w:ilvl w:val="0"/>
                <w:numId w:val="13"/>
              </w:numPr>
              <w:rPr>
                <w:i/>
                <w:iCs/>
              </w:rPr>
            </w:pPr>
            <w:r>
              <w:rPr>
                <w:i/>
                <w:iCs/>
              </w:rPr>
              <w:t>What are your ultimate objectives for your disadvantaged pupils?</w:t>
            </w:r>
          </w:p>
          <w:p w14:paraId="2A7D54E8" w14:textId="76AA6AB4" w:rsidR="00E66558" w:rsidRDefault="009D71E8">
            <w:pPr>
              <w:pStyle w:val="ListParagraph"/>
              <w:numPr>
                <w:ilvl w:val="0"/>
                <w:numId w:val="13"/>
              </w:numPr>
              <w:rPr>
                <w:i/>
                <w:iCs/>
              </w:rPr>
            </w:pPr>
            <w:r>
              <w:rPr>
                <w:i/>
                <w:iCs/>
              </w:rPr>
              <w:t>How does your current pupil premium strategy plan work towards achieving those objectives?</w:t>
            </w:r>
          </w:p>
          <w:p w14:paraId="7A82E637" w14:textId="77777777" w:rsidR="00E66558" w:rsidRDefault="009D71E8">
            <w:pPr>
              <w:pStyle w:val="ListParagraph"/>
              <w:numPr>
                <w:ilvl w:val="0"/>
                <w:numId w:val="13"/>
              </w:numPr>
              <w:rPr>
                <w:i/>
                <w:iCs/>
              </w:rPr>
            </w:pPr>
            <w:r>
              <w:rPr>
                <w:i/>
                <w:iCs/>
              </w:rPr>
              <w:t>What are the key principles of your strategy plan?</w:t>
            </w:r>
          </w:p>
          <w:p w14:paraId="0A4F5AEC" w14:textId="16E356C3" w:rsidR="009428FC" w:rsidRPr="009428FC" w:rsidRDefault="009428FC" w:rsidP="009428FC">
            <w:pPr>
              <w:rPr>
                <w:iCs/>
              </w:rPr>
            </w:pPr>
            <w:r w:rsidRPr="009428FC">
              <w:rPr>
                <w:iCs/>
              </w:rPr>
              <w:t>Our intention</w:t>
            </w:r>
            <w:r w:rsidR="00EB71F7">
              <w:rPr>
                <w:iCs/>
              </w:rPr>
              <w:t xml:space="preserve"> at St </w:t>
            </w:r>
            <w:proofErr w:type="spellStart"/>
            <w:r w:rsidR="00EB71F7">
              <w:rPr>
                <w:iCs/>
              </w:rPr>
              <w:t>Breward</w:t>
            </w:r>
            <w:proofErr w:type="spellEnd"/>
            <w:r w:rsidR="00EB71F7">
              <w:rPr>
                <w:iCs/>
              </w:rPr>
              <w:t xml:space="preserve"> Primary School, is for all </w:t>
            </w:r>
            <w:r w:rsidR="0059392E">
              <w:rPr>
                <w:iCs/>
              </w:rPr>
              <w:t>children</w:t>
            </w:r>
            <w:r w:rsidRPr="009428FC">
              <w:rPr>
                <w:iCs/>
              </w:rPr>
              <w:t xml:space="preserve">, </w:t>
            </w:r>
            <w:r w:rsidR="00EB71F7">
              <w:rPr>
                <w:iCs/>
              </w:rPr>
              <w:t xml:space="preserve">regardless </w:t>
            </w:r>
            <w:r w:rsidRPr="009428FC">
              <w:rPr>
                <w:iCs/>
              </w:rPr>
              <w:t xml:space="preserve">of their background they face, make good progress and achieve high attainment across all subject areas. </w:t>
            </w:r>
            <w:r w:rsidR="00EA2451">
              <w:rPr>
                <w:iCs/>
              </w:rPr>
              <w:t xml:space="preserve">Our pupil premium strategy focuses on </w:t>
            </w:r>
            <w:r w:rsidR="0059392E">
              <w:rPr>
                <w:iCs/>
              </w:rPr>
              <w:t>supporting disadvantaged children to achieve that goal</w:t>
            </w:r>
            <w:r w:rsidRPr="009428FC">
              <w:rPr>
                <w:iCs/>
              </w:rPr>
              <w:t xml:space="preserve">, including progress for those who are already high attainers. </w:t>
            </w:r>
          </w:p>
          <w:p w14:paraId="215FC802" w14:textId="7AAC3C0A" w:rsidR="009428FC" w:rsidRPr="009428FC" w:rsidRDefault="009428FC" w:rsidP="009428FC">
            <w:pPr>
              <w:rPr>
                <w:iCs/>
              </w:rPr>
            </w:pPr>
            <w:r w:rsidRPr="009428FC">
              <w:rPr>
                <w:iCs/>
              </w:rPr>
              <w:t>We will consider the challenges faced by</w:t>
            </w:r>
            <w:r w:rsidR="0059392E">
              <w:rPr>
                <w:iCs/>
              </w:rPr>
              <w:t xml:space="preserve"> our</w:t>
            </w:r>
            <w:r w:rsidRPr="009428FC">
              <w:rPr>
                <w:iCs/>
              </w:rPr>
              <w:t xml:space="preserve"> vulnerable </w:t>
            </w:r>
            <w:r w:rsidR="0059392E">
              <w:rPr>
                <w:iCs/>
              </w:rPr>
              <w:t>children</w:t>
            </w:r>
            <w:r w:rsidRPr="009428FC">
              <w:rPr>
                <w:iCs/>
              </w:rPr>
              <w:t xml:space="preserve">, such as those who have </w:t>
            </w:r>
            <w:r w:rsidR="00E827D6">
              <w:rPr>
                <w:iCs/>
              </w:rPr>
              <w:t>previously been in care</w:t>
            </w:r>
            <w:r w:rsidRPr="009428FC">
              <w:rPr>
                <w:iCs/>
              </w:rPr>
              <w:t>. The activity we have outlined in this statement is also intended to support their needs, regardless of whether they are disadvantaged or not.</w:t>
            </w:r>
          </w:p>
          <w:p w14:paraId="1DA6AA88" w14:textId="6DDB89A0" w:rsidR="009428FC" w:rsidRDefault="009428FC" w:rsidP="009428FC">
            <w:pPr>
              <w:rPr>
                <w:iCs/>
              </w:rPr>
            </w:pPr>
            <w:r w:rsidRPr="009428FC">
              <w:rPr>
                <w:iCs/>
              </w:rPr>
              <w:t xml:space="preserve">High-quality teaching is at the heart of our approach, with a focus on areas in which disadvantaged </w:t>
            </w:r>
            <w:r w:rsidR="00E827D6">
              <w:rPr>
                <w:iCs/>
              </w:rPr>
              <w:t>children</w:t>
            </w:r>
            <w:r w:rsidRPr="009428FC">
              <w:rPr>
                <w:iCs/>
              </w:rPr>
              <w:t xml:space="preserve"> require the most support. This is proven to have the greatest impact on closing the disadvantage attainment gap and </w:t>
            </w:r>
            <w:r w:rsidR="00E827D6">
              <w:rPr>
                <w:iCs/>
              </w:rPr>
              <w:t>will also</w:t>
            </w:r>
            <w:r w:rsidRPr="009428FC">
              <w:rPr>
                <w:iCs/>
              </w:rPr>
              <w:t xml:space="preserve"> will benefit the non-disadvantaged </w:t>
            </w:r>
            <w:r w:rsidR="00E827D6">
              <w:rPr>
                <w:iCs/>
              </w:rPr>
              <w:t>children</w:t>
            </w:r>
            <w:r w:rsidRPr="009428FC">
              <w:rPr>
                <w:iCs/>
              </w:rPr>
              <w:t xml:space="preserve"> in our school. Implicit in the intended outcomes detailed below, is the intention that non-disadvantaged </w:t>
            </w:r>
            <w:r w:rsidR="00E827D6">
              <w:rPr>
                <w:iCs/>
              </w:rPr>
              <w:t>children</w:t>
            </w:r>
            <w:r w:rsidRPr="009428FC">
              <w:rPr>
                <w:iCs/>
              </w:rPr>
              <w:t>’</w:t>
            </w:r>
            <w:r w:rsidR="00E827D6">
              <w:rPr>
                <w:iCs/>
              </w:rPr>
              <w:t>s</w:t>
            </w:r>
            <w:r w:rsidRPr="009428FC">
              <w:rPr>
                <w:iCs/>
              </w:rPr>
              <w:t xml:space="preserve"> attainment will be sustained and improved alongside progress for their disadvantaged peers.</w:t>
            </w:r>
          </w:p>
          <w:p w14:paraId="59201987" w14:textId="6CBAA2A4" w:rsidR="00E827D6" w:rsidRPr="00E827D6" w:rsidRDefault="00E827D6" w:rsidP="00E827D6">
            <w:pPr>
              <w:rPr>
                <w:iCs/>
              </w:rPr>
            </w:pPr>
            <w:r w:rsidRPr="00E827D6">
              <w:rPr>
                <w:iCs/>
              </w:rPr>
              <w:t>Our strategy is also integral to wider school plans for education recovery following the COVID-19 pandemic</w:t>
            </w:r>
            <w:r>
              <w:rPr>
                <w:iCs/>
              </w:rPr>
              <w:t xml:space="preserve">. We have identified the areas most affected by the lockdown and have developed a strategic response to this, notably through our </w:t>
            </w:r>
            <w:proofErr w:type="gramStart"/>
            <w:r>
              <w:rPr>
                <w:iCs/>
              </w:rPr>
              <w:t>high quality</w:t>
            </w:r>
            <w:proofErr w:type="gramEnd"/>
            <w:r>
              <w:rPr>
                <w:iCs/>
              </w:rPr>
              <w:t xml:space="preserve"> teaching and progressive curriculum.</w:t>
            </w:r>
          </w:p>
          <w:p w14:paraId="3F802B15" w14:textId="3E216406" w:rsidR="00E827D6" w:rsidRPr="00E827D6" w:rsidRDefault="00E827D6" w:rsidP="00E827D6">
            <w:pPr>
              <w:rPr>
                <w:iCs/>
              </w:rPr>
            </w:pPr>
            <w:r w:rsidRPr="00E827D6">
              <w:rPr>
                <w:iCs/>
              </w:rPr>
              <w:t xml:space="preserve">Our approach will be responsive to common challenges and individual needs, rooted in robust diagnostic assessment, not assumptions about the impact of disadvantage. The approaches we have adopted complement each other to help </w:t>
            </w:r>
            <w:r w:rsidR="00296F04">
              <w:rPr>
                <w:iCs/>
              </w:rPr>
              <w:t>children</w:t>
            </w:r>
            <w:r w:rsidRPr="00E827D6">
              <w:rPr>
                <w:iCs/>
              </w:rPr>
              <w:t xml:space="preserve"> excel. To ensure they are effective we will:</w:t>
            </w:r>
          </w:p>
          <w:p w14:paraId="330192B5" w14:textId="229E015E" w:rsidR="00E827D6" w:rsidRPr="00E827D6" w:rsidRDefault="00E827D6" w:rsidP="00E827D6">
            <w:pPr>
              <w:rPr>
                <w:iCs/>
              </w:rPr>
            </w:pPr>
            <w:r w:rsidRPr="00E827D6">
              <w:rPr>
                <w:iCs/>
              </w:rPr>
              <w:t>•</w:t>
            </w:r>
            <w:r w:rsidRPr="00E827D6">
              <w:rPr>
                <w:iCs/>
              </w:rPr>
              <w:tab/>
              <w:t xml:space="preserve">ensure disadvantaged </w:t>
            </w:r>
            <w:r w:rsidR="00296F04">
              <w:rPr>
                <w:iCs/>
              </w:rPr>
              <w:t>children</w:t>
            </w:r>
            <w:r w:rsidRPr="00E827D6">
              <w:rPr>
                <w:iCs/>
              </w:rPr>
              <w:t xml:space="preserve"> are challenged in the work that they’re set</w:t>
            </w:r>
          </w:p>
          <w:p w14:paraId="5E65E791" w14:textId="77777777" w:rsidR="00E827D6" w:rsidRPr="00E827D6" w:rsidRDefault="00E827D6" w:rsidP="00E827D6">
            <w:pPr>
              <w:rPr>
                <w:iCs/>
              </w:rPr>
            </w:pPr>
            <w:r w:rsidRPr="00E827D6">
              <w:rPr>
                <w:iCs/>
              </w:rPr>
              <w:t>•</w:t>
            </w:r>
            <w:r w:rsidRPr="00E827D6">
              <w:rPr>
                <w:iCs/>
              </w:rPr>
              <w:tab/>
              <w:t>act early to intervene at the point need is identified</w:t>
            </w:r>
          </w:p>
          <w:p w14:paraId="2A7D54E9" w14:textId="0F43A0DE" w:rsidR="00E827D6" w:rsidRPr="009428FC" w:rsidRDefault="00E827D6" w:rsidP="00E827D6">
            <w:pPr>
              <w:rPr>
                <w:iCs/>
              </w:rPr>
            </w:pPr>
            <w:r w:rsidRPr="00E827D6">
              <w:rPr>
                <w:iCs/>
              </w:rPr>
              <w:t>•</w:t>
            </w:r>
            <w:r w:rsidRPr="00E827D6">
              <w:rPr>
                <w:iCs/>
              </w:rPr>
              <w:tab/>
              <w:t xml:space="preserve">adopt a whole school approach in which all staff take responsibility for disadvantaged </w:t>
            </w:r>
            <w:r w:rsidR="00296F04">
              <w:rPr>
                <w:iCs/>
              </w:rPr>
              <w:t>children’s</w:t>
            </w:r>
            <w:r w:rsidRPr="00E827D6">
              <w:rPr>
                <w:iCs/>
              </w:rPr>
              <w:t xml:space="preserve"> outcomes and raise expectations of what they can achieve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D1E89" w14:textId="77777777" w:rsidR="00E66558" w:rsidRDefault="00DC192D">
            <w:pPr>
              <w:pStyle w:val="TableRowCentered"/>
              <w:jc w:val="left"/>
              <w:rPr>
                <w:iCs/>
                <w:sz w:val="22"/>
                <w:szCs w:val="22"/>
              </w:rPr>
            </w:pPr>
            <w:r w:rsidRPr="00DC192D">
              <w:rPr>
                <w:iCs/>
                <w:sz w:val="22"/>
                <w:szCs w:val="22"/>
              </w:rPr>
              <w:t xml:space="preserve">Assessments, observations, and discussions with </w:t>
            </w:r>
            <w:r>
              <w:rPr>
                <w:iCs/>
                <w:sz w:val="22"/>
                <w:szCs w:val="22"/>
              </w:rPr>
              <w:t>children</w:t>
            </w:r>
            <w:r w:rsidRPr="00DC192D">
              <w:rPr>
                <w:iCs/>
                <w:sz w:val="22"/>
                <w:szCs w:val="22"/>
              </w:rPr>
              <w:t xml:space="preserve"> indicate</w:t>
            </w:r>
            <w:r>
              <w:rPr>
                <w:iCs/>
                <w:sz w:val="22"/>
                <w:szCs w:val="22"/>
              </w:rPr>
              <w:t xml:space="preserve"> that writing is an area of weakness for our disadvantaged children. This is evident across KS1 and KS2.</w:t>
            </w:r>
          </w:p>
          <w:p w14:paraId="733EB1C7" w14:textId="77777777" w:rsidR="00DC192D" w:rsidRDefault="00DC192D">
            <w:pPr>
              <w:pStyle w:val="TableRowCentered"/>
              <w:jc w:val="left"/>
            </w:pPr>
            <w:r>
              <w:t>Last year 0% of disadvantaged children achieved the expected standard at Year 6 compared to 28.6% of other children.</w:t>
            </w:r>
          </w:p>
          <w:p w14:paraId="2A7D54F1" w14:textId="002A64E2" w:rsidR="00713450" w:rsidRPr="00DC192D" w:rsidRDefault="00713450">
            <w:pPr>
              <w:pStyle w:val="TableRowCentered"/>
              <w:jc w:val="left"/>
            </w:pPr>
            <w:r>
              <w:t>Across the school, all disadvantaged children are currently writing below the expected standard for their age.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DB6E" w14:textId="77777777" w:rsidR="00E66558" w:rsidRDefault="00FE34E2">
            <w:pPr>
              <w:pStyle w:val="TableRowCentered"/>
              <w:jc w:val="left"/>
              <w:rPr>
                <w:sz w:val="22"/>
                <w:szCs w:val="22"/>
              </w:rPr>
            </w:pPr>
            <w:r w:rsidRPr="00FE34E2">
              <w:rPr>
                <w:sz w:val="22"/>
                <w:szCs w:val="22"/>
              </w:rPr>
              <w:t>Assessments, observations, and discussions with children disadvantaged pupils generally have greater difficulties with reading than their peers.</w:t>
            </w:r>
          </w:p>
          <w:p w14:paraId="4C939511" w14:textId="78E9F7EE" w:rsidR="00FE34E2" w:rsidRDefault="002F37FF">
            <w:pPr>
              <w:pStyle w:val="TableRowCentered"/>
              <w:jc w:val="left"/>
              <w:rPr>
                <w:sz w:val="22"/>
                <w:szCs w:val="22"/>
              </w:rPr>
            </w:pPr>
            <w:r>
              <w:rPr>
                <w:sz w:val="22"/>
                <w:szCs w:val="22"/>
              </w:rPr>
              <w:t>From the 2022-2023 Year 6 cohort</w:t>
            </w:r>
            <w:r w:rsidR="00FE34E2">
              <w:rPr>
                <w:sz w:val="22"/>
                <w:szCs w:val="22"/>
              </w:rPr>
              <w:t>, 0% of disadvantaged children achieved a pass in their reading SATs compared to 28.6% of non-disadvantaged children.</w:t>
            </w:r>
          </w:p>
          <w:p w14:paraId="2A7D54F4" w14:textId="3710756B" w:rsidR="00713450" w:rsidRDefault="00713450">
            <w:pPr>
              <w:pStyle w:val="TableRowCentered"/>
              <w:jc w:val="left"/>
              <w:rPr>
                <w:sz w:val="22"/>
                <w:szCs w:val="22"/>
              </w:rPr>
            </w:pPr>
            <w:r>
              <w:rPr>
                <w:sz w:val="22"/>
                <w:szCs w:val="22"/>
              </w:rPr>
              <w:t xml:space="preserve">This year, 80% of disadvantaged are below the expected standard for their age in reading.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951DF" w14:textId="77777777" w:rsidR="00E66558" w:rsidRDefault="002F37FF">
            <w:pPr>
              <w:pStyle w:val="TableRowCentered"/>
              <w:jc w:val="left"/>
              <w:rPr>
                <w:sz w:val="22"/>
                <w:szCs w:val="22"/>
              </w:rPr>
            </w:pPr>
            <w:r w:rsidRPr="002F37FF">
              <w:rPr>
                <w:sz w:val="22"/>
                <w:szCs w:val="22"/>
              </w:rPr>
              <w:t xml:space="preserve">Internal and external assessments indicate that maths attainment among disadvantaged </w:t>
            </w:r>
            <w:r>
              <w:rPr>
                <w:sz w:val="22"/>
                <w:szCs w:val="22"/>
              </w:rPr>
              <w:t>children</w:t>
            </w:r>
            <w:r w:rsidRPr="002F37FF">
              <w:rPr>
                <w:sz w:val="22"/>
                <w:szCs w:val="22"/>
              </w:rPr>
              <w:t xml:space="preserve"> is significantly below that of non-disadvantaged </w:t>
            </w:r>
            <w:r>
              <w:rPr>
                <w:sz w:val="22"/>
                <w:szCs w:val="22"/>
              </w:rPr>
              <w:t>children.</w:t>
            </w:r>
          </w:p>
          <w:p w14:paraId="555DA313" w14:textId="77777777" w:rsidR="002F37FF" w:rsidRDefault="002F37FF">
            <w:pPr>
              <w:pStyle w:val="TableRowCentered"/>
              <w:jc w:val="left"/>
              <w:rPr>
                <w:sz w:val="22"/>
                <w:szCs w:val="22"/>
              </w:rPr>
            </w:pPr>
            <w:r>
              <w:rPr>
                <w:sz w:val="22"/>
                <w:szCs w:val="22"/>
              </w:rPr>
              <w:t>This year 80% of disadvantaged children are below the expected standard for their age. Times table knowledge is particularly weak across KS2.</w:t>
            </w:r>
          </w:p>
          <w:p w14:paraId="2A7D54F7" w14:textId="3983F064" w:rsidR="002F37FF" w:rsidRDefault="002F37FF">
            <w:pPr>
              <w:pStyle w:val="TableRowCentered"/>
              <w:jc w:val="left"/>
              <w:rPr>
                <w:sz w:val="22"/>
                <w:szCs w:val="22"/>
              </w:rPr>
            </w:pPr>
            <w:r>
              <w:rPr>
                <w:sz w:val="22"/>
                <w:szCs w:val="22"/>
              </w:rPr>
              <w:t>In 2022-2023, Year 6 0% of disadvantaged children achieved a pass in their maths SATs compared to 42.9% of non-disadvantaged children.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BA22" w14:textId="3368C5FC" w:rsidR="002F37FF" w:rsidRPr="002F37FF" w:rsidRDefault="002F37FF" w:rsidP="002F37FF">
            <w:pPr>
              <w:pStyle w:val="TableRowCentered"/>
              <w:jc w:val="left"/>
              <w:rPr>
                <w:iCs/>
                <w:sz w:val="22"/>
              </w:rPr>
            </w:pPr>
            <w:r w:rsidRPr="002F37FF">
              <w:rPr>
                <w:iCs/>
                <w:sz w:val="22"/>
              </w:rPr>
              <w:t xml:space="preserve">Our assessments, observations and discussions with </w:t>
            </w:r>
            <w:r>
              <w:rPr>
                <w:iCs/>
                <w:sz w:val="22"/>
              </w:rPr>
              <w:t>children</w:t>
            </w:r>
            <w:r w:rsidRPr="002F37FF">
              <w:rPr>
                <w:iCs/>
                <w:sz w:val="22"/>
              </w:rPr>
              <w:t xml:space="preserve"> and families indicate that the education and wellbeing of many of our disadvantaged </w:t>
            </w:r>
            <w:r>
              <w:rPr>
                <w:iCs/>
                <w:sz w:val="22"/>
              </w:rPr>
              <w:t xml:space="preserve">children </w:t>
            </w:r>
            <w:r w:rsidRPr="002F37FF">
              <w:rPr>
                <w:iCs/>
                <w:sz w:val="22"/>
              </w:rPr>
              <w:t xml:space="preserve">continues to be affected by the impact of the partial school closures during the COVID-19 pandemic, and to a greater extent than for other </w:t>
            </w:r>
            <w:r>
              <w:rPr>
                <w:iCs/>
                <w:sz w:val="22"/>
              </w:rPr>
              <w:t>children</w:t>
            </w:r>
            <w:r w:rsidRPr="002F37FF">
              <w:rPr>
                <w:iCs/>
                <w:sz w:val="22"/>
              </w:rPr>
              <w:t xml:space="preserve">. These findings are supported by national studies. </w:t>
            </w:r>
          </w:p>
          <w:p w14:paraId="2A7D54FA" w14:textId="32057F86" w:rsidR="00E66558" w:rsidRDefault="002F37FF" w:rsidP="002F37FF">
            <w:pPr>
              <w:pStyle w:val="TableRowCentered"/>
              <w:jc w:val="both"/>
              <w:rPr>
                <w:iCs/>
                <w:sz w:val="22"/>
              </w:rPr>
            </w:pPr>
            <w:r w:rsidRPr="002F37FF">
              <w:rPr>
                <w:iCs/>
                <w:sz w:val="22"/>
              </w:rPr>
              <w:t xml:space="preserve">This has resulted in significant knowledge gaps leading to </w:t>
            </w:r>
            <w:r>
              <w:rPr>
                <w:iCs/>
                <w:sz w:val="22"/>
              </w:rPr>
              <w:t>children</w:t>
            </w:r>
            <w:r w:rsidRPr="002F37FF">
              <w:rPr>
                <w:iCs/>
                <w:sz w:val="22"/>
              </w:rPr>
              <w:t xml:space="preserve"> falling further behind age-related expectations, especially in </w:t>
            </w:r>
            <w:r>
              <w:rPr>
                <w:iCs/>
                <w:sz w:val="22"/>
              </w:rPr>
              <w:t>writing</w:t>
            </w:r>
            <w:r w:rsidRPr="002F37FF">
              <w:rPr>
                <w:iCs/>
                <w:sz w:val="22"/>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C42D" w14:textId="5284A325" w:rsidR="00D3236A" w:rsidRPr="00D3236A" w:rsidRDefault="00D3236A" w:rsidP="00D3236A">
            <w:pPr>
              <w:pStyle w:val="TableRowCentered"/>
              <w:jc w:val="left"/>
              <w:rPr>
                <w:iCs/>
                <w:sz w:val="22"/>
              </w:rPr>
            </w:pPr>
            <w:r>
              <w:rPr>
                <w:iCs/>
                <w:sz w:val="22"/>
              </w:rPr>
              <w:t>O</w:t>
            </w:r>
            <w:r w:rsidRPr="00D3236A">
              <w:rPr>
                <w:iCs/>
                <w:sz w:val="22"/>
              </w:rPr>
              <w:t xml:space="preserve">bservations and discussions with </w:t>
            </w:r>
            <w:r>
              <w:rPr>
                <w:iCs/>
                <w:sz w:val="22"/>
              </w:rPr>
              <w:t>children</w:t>
            </w:r>
            <w:r w:rsidRPr="00D3236A">
              <w:rPr>
                <w:iCs/>
                <w:sz w:val="22"/>
              </w:rPr>
              <w:t xml:space="preserve"> and families have identified social and emotional issues for many pupils, notably due to </w:t>
            </w:r>
            <w:r>
              <w:rPr>
                <w:iCs/>
                <w:sz w:val="22"/>
              </w:rPr>
              <w:t>a lack of resilience, self-esteem and aspirations for the future</w:t>
            </w:r>
            <w:r w:rsidRPr="00D3236A">
              <w:rPr>
                <w:iCs/>
                <w:sz w:val="22"/>
              </w:rPr>
              <w:t xml:space="preserve">. These challenges particularly affect disadvantaged </w:t>
            </w:r>
            <w:r>
              <w:rPr>
                <w:iCs/>
                <w:sz w:val="22"/>
              </w:rPr>
              <w:t>children</w:t>
            </w:r>
            <w:r w:rsidRPr="00D3236A">
              <w:rPr>
                <w:iCs/>
                <w:sz w:val="22"/>
              </w:rPr>
              <w:t>, including their attainment.</w:t>
            </w:r>
          </w:p>
          <w:p w14:paraId="2A7D54FD" w14:textId="07AA4384" w:rsidR="00E66558" w:rsidRDefault="00D3236A" w:rsidP="00D3236A">
            <w:pPr>
              <w:pStyle w:val="TableRowCentered"/>
              <w:jc w:val="left"/>
              <w:rPr>
                <w:iCs/>
                <w:sz w:val="22"/>
              </w:rPr>
            </w:pPr>
            <w:r w:rsidRPr="00D3236A">
              <w:rPr>
                <w:iCs/>
                <w:sz w:val="22"/>
              </w:rPr>
              <w:t>Teacher referrals for support remain relatively high.</w:t>
            </w:r>
            <w:r>
              <w:rPr>
                <w:iCs/>
                <w:sz w:val="22"/>
              </w:rPr>
              <w:t>13</w:t>
            </w:r>
            <w:r w:rsidRPr="00D3236A">
              <w:rPr>
                <w:iCs/>
                <w:sz w:val="22"/>
              </w:rPr>
              <w:t xml:space="preserve"> pupils (</w:t>
            </w:r>
            <w:r>
              <w:rPr>
                <w:iCs/>
                <w:sz w:val="22"/>
              </w:rPr>
              <w:t>3</w:t>
            </w:r>
            <w:r w:rsidRPr="00D3236A">
              <w:rPr>
                <w:iCs/>
                <w:sz w:val="22"/>
              </w:rPr>
              <w:t xml:space="preserve"> of whom are disadvantaged) currently require additional support with social and emotional needs, with </w:t>
            </w:r>
            <w:r w:rsidR="002B1B9F">
              <w:rPr>
                <w:iCs/>
                <w:sz w:val="22"/>
              </w:rPr>
              <w:t xml:space="preserve">100% of disadvantaged children receiving </w:t>
            </w:r>
            <w:r w:rsidRPr="00D3236A">
              <w:rPr>
                <w:iCs/>
                <w:sz w:val="22"/>
              </w:rPr>
              <w:t>small group interventions.</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2B1B9F" w14:paraId="2A7D5506" w14:textId="77777777" w:rsidTr="00E937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576149B1" w:rsidR="002B1B9F" w:rsidRDefault="002B1B9F" w:rsidP="00076ED7">
            <w:pPr>
              <w:pStyle w:val="TableRow"/>
              <w:numPr>
                <w:ilvl w:val="0"/>
                <w:numId w:val="16"/>
              </w:numPr>
            </w:pPr>
            <w:r w:rsidRPr="00E27862">
              <w:rPr>
                <w:rFonts w:cs="Arial"/>
                <w:color w:val="auto"/>
              </w:rPr>
              <w:t xml:space="preserve">Improved </w:t>
            </w:r>
            <w:r>
              <w:rPr>
                <w:rFonts w:cs="Arial"/>
                <w:color w:val="auto"/>
              </w:rPr>
              <w:t>writing</w:t>
            </w:r>
            <w:r w:rsidRPr="00E27862">
              <w:rPr>
                <w:rFonts w:cs="Arial"/>
                <w:color w:val="auto"/>
              </w:rPr>
              <w:t xml:space="preserve"> skills and vocabulary among disadvantaged </w:t>
            </w:r>
            <w:r>
              <w:rPr>
                <w:rFonts w:cs="Arial"/>
                <w:color w:val="auto"/>
              </w:rPr>
              <w:t>children.</w:t>
            </w:r>
            <w:r w:rsidRPr="00E27862">
              <w:rPr>
                <w:rFonts w:cs="Arial"/>
                <w:color w:val="auto"/>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0BB91E00" w:rsidR="002B1B9F" w:rsidRDefault="002B1B9F" w:rsidP="002B1B9F">
            <w:pPr>
              <w:pStyle w:val="TableRowCentered"/>
              <w:jc w:val="left"/>
              <w:rPr>
                <w:sz w:val="22"/>
                <w:szCs w:val="22"/>
              </w:rPr>
            </w:pPr>
            <w:r w:rsidRPr="00E27862">
              <w:rPr>
                <w:rFonts w:cs="Arial"/>
                <w:color w:val="auto"/>
              </w:rPr>
              <w:t xml:space="preserve">Assessments and observations indicate significantly improved </w:t>
            </w:r>
            <w:r>
              <w:rPr>
                <w:rFonts w:cs="Arial"/>
                <w:color w:val="auto"/>
              </w:rPr>
              <w:t>use of spelling, punctuation and grammar</w:t>
            </w:r>
            <w:r w:rsidRPr="00E27862">
              <w:rPr>
                <w:rFonts w:cs="Arial"/>
                <w:color w:val="auto"/>
              </w:rPr>
              <w:t xml:space="preserve"> among disadvantaged </w:t>
            </w:r>
            <w:r>
              <w:rPr>
                <w:rFonts w:cs="Arial"/>
                <w:color w:val="auto"/>
              </w:rPr>
              <w:t>children</w:t>
            </w:r>
            <w:r w:rsidRPr="00E27862">
              <w:rPr>
                <w:rFonts w:cs="Arial"/>
                <w:color w:val="auto"/>
              </w:rPr>
              <w:t xml:space="preserve">. </w:t>
            </w:r>
            <w:r w:rsidRPr="00E27862">
              <w:rPr>
                <w:color w:val="auto"/>
              </w:rPr>
              <w:t>This is evident when triangulated with other sources of evidence, including engagement in lessons, book scrutiny and ongoing formative assessment.</w:t>
            </w:r>
          </w:p>
        </w:tc>
      </w:tr>
      <w:tr w:rsidR="002B1B9F" w14:paraId="2A7D5509" w14:textId="77777777" w:rsidTr="00E937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73067A0F" w:rsidR="002B1B9F" w:rsidRDefault="002B1B9F" w:rsidP="00076ED7">
            <w:pPr>
              <w:pStyle w:val="TableRow"/>
              <w:numPr>
                <w:ilvl w:val="0"/>
                <w:numId w:val="16"/>
              </w:numPr>
              <w:rPr>
                <w:sz w:val="22"/>
                <w:szCs w:val="22"/>
              </w:rPr>
            </w:pPr>
            <w:r w:rsidRPr="00E27862">
              <w:rPr>
                <w:rFonts w:cs="Arial"/>
                <w:color w:val="auto"/>
              </w:rPr>
              <w:t xml:space="preserve">Improved reading attainment among disadvantaged </w:t>
            </w:r>
            <w:r>
              <w:rPr>
                <w:rFonts w:cs="Arial"/>
                <w:color w:val="auto"/>
              </w:rPr>
              <w:t>reading</w:t>
            </w:r>
            <w:r w:rsidRPr="00E27862">
              <w:rPr>
                <w:rFonts w:cs="Arial"/>
                <w:color w:val="auto"/>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1B82A99D" w:rsidR="002B1B9F" w:rsidRDefault="002B1B9F" w:rsidP="002B1B9F">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2024/25 show that more than </w:t>
            </w:r>
            <w:r>
              <w:rPr>
                <w:rFonts w:cs="Arial"/>
                <w:color w:val="auto"/>
                <w:lang w:eastAsia="en-US"/>
              </w:rPr>
              <w:t>60</w:t>
            </w:r>
            <w:r w:rsidRPr="00E27862">
              <w:rPr>
                <w:rFonts w:cs="Arial"/>
                <w:color w:val="auto"/>
                <w:lang w:eastAsia="en-US"/>
              </w:rPr>
              <w:t>% of disadvantaged pupils met the expected standard.</w:t>
            </w:r>
          </w:p>
        </w:tc>
      </w:tr>
      <w:tr w:rsidR="002B1B9F" w14:paraId="2A7D550C" w14:textId="77777777" w:rsidTr="00E937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633ECD42" w:rsidR="002B1B9F" w:rsidRDefault="002B1B9F" w:rsidP="00076ED7">
            <w:pPr>
              <w:pStyle w:val="TableRow"/>
              <w:numPr>
                <w:ilvl w:val="0"/>
                <w:numId w:val="16"/>
              </w:numPr>
              <w:rPr>
                <w:sz w:val="22"/>
                <w:szCs w:val="22"/>
              </w:rPr>
            </w:pPr>
            <w:r w:rsidRPr="00E27862">
              <w:rPr>
                <w:rFonts w:cs="Arial"/>
                <w:color w:val="auto"/>
              </w:rPr>
              <w:t xml:space="preserve">Improved </w:t>
            </w:r>
            <w:r>
              <w:rPr>
                <w:rFonts w:cs="Arial"/>
                <w:color w:val="auto"/>
              </w:rPr>
              <w:t>maths</w:t>
            </w:r>
            <w:r w:rsidRPr="00E27862">
              <w:rPr>
                <w:rFonts w:cs="Arial"/>
                <w:color w:val="auto"/>
              </w:rPr>
              <w:t xml:space="preserve"> attainment </w:t>
            </w:r>
            <w:r>
              <w:rPr>
                <w:rFonts w:cs="Arial"/>
                <w:color w:val="auto"/>
              </w:rPr>
              <w:t>for</w:t>
            </w:r>
            <w:r w:rsidRPr="00E27862">
              <w:rPr>
                <w:rFonts w:cs="Arial"/>
                <w:color w:val="auto"/>
              </w:rPr>
              <w:t xml:space="preserve"> disadvantaged </w:t>
            </w:r>
            <w:r>
              <w:rPr>
                <w:rFonts w:cs="Arial"/>
                <w:color w:val="auto"/>
              </w:rPr>
              <w:t>children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5C699C" w14:textId="520EF64E" w:rsidR="002B1B9F" w:rsidRDefault="002B1B9F" w:rsidP="002B1B9F">
            <w:pPr>
              <w:pStyle w:val="TableRowCentered"/>
              <w:spacing w:after="120"/>
              <w:jc w:val="left"/>
              <w:rPr>
                <w:rStyle w:val="CommentReference"/>
                <w:color w:val="auto"/>
              </w:rPr>
            </w:pPr>
            <w:r w:rsidRPr="00E27862">
              <w:rPr>
                <w:rFonts w:cs="Arial"/>
                <w:color w:val="auto"/>
              </w:rPr>
              <w:t>KS2</w:t>
            </w:r>
            <w:r w:rsidRPr="00E27862">
              <w:rPr>
                <w:rFonts w:cs="Arial"/>
                <w:color w:val="auto"/>
                <w:szCs w:val="24"/>
                <w:lang w:eastAsia="en-US"/>
              </w:rPr>
              <w:t xml:space="preserve"> maths outcomes in 2024/25 show that </w:t>
            </w:r>
            <w:r w:rsidRPr="00E27862">
              <w:rPr>
                <w:rStyle w:val="CommentReference"/>
                <w:color w:val="auto"/>
              </w:rPr>
              <w:t xml:space="preserve">more than </w:t>
            </w:r>
            <w:r>
              <w:rPr>
                <w:rStyle w:val="CommentReference"/>
                <w:color w:val="auto"/>
              </w:rPr>
              <w:t>60</w:t>
            </w:r>
            <w:r w:rsidRPr="00E27862">
              <w:rPr>
                <w:rStyle w:val="CommentReference"/>
                <w:color w:val="auto"/>
              </w:rPr>
              <w:t xml:space="preserve">% of disadvantaged </w:t>
            </w:r>
            <w:r>
              <w:rPr>
                <w:rStyle w:val="CommentReference"/>
                <w:color w:val="auto"/>
              </w:rPr>
              <w:t>c</w:t>
            </w:r>
            <w:r>
              <w:rPr>
                <w:rStyle w:val="CommentReference"/>
              </w:rPr>
              <w:t>hildren</w:t>
            </w:r>
            <w:r w:rsidRPr="00E27862">
              <w:rPr>
                <w:rStyle w:val="CommentReference"/>
                <w:color w:val="auto"/>
              </w:rPr>
              <w:t xml:space="preserve"> met the expected standard.</w:t>
            </w:r>
          </w:p>
          <w:p w14:paraId="2C23850D" w14:textId="0644A8E7" w:rsidR="002B1B9F" w:rsidRPr="00E27862" w:rsidRDefault="002B1B9F" w:rsidP="002B1B9F">
            <w:pPr>
              <w:pStyle w:val="TableRowCentered"/>
              <w:spacing w:after="120"/>
              <w:jc w:val="left"/>
              <w:rPr>
                <w:rFonts w:cs="Arial"/>
                <w:color w:val="auto"/>
                <w:szCs w:val="24"/>
                <w:lang w:eastAsia="en-US"/>
              </w:rPr>
            </w:pPr>
            <w:r>
              <w:rPr>
                <w:rFonts w:cs="Arial"/>
                <w:color w:val="auto"/>
              </w:rPr>
              <w:t>KS1 to show significant progress in maths for any children below ARE.</w:t>
            </w:r>
          </w:p>
          <w:p w14:paraId="2A7D550B" w14:textId="77777777" w:rsidR="002B1B9F" w:rsidRDefault="002B1B9F" w:rsidP="002B1B9F">
            <w:pPr>
              <w:pStyle w:val="TableRowCentered"/>
              <w:jc w:val="left"/>
              <w:rPr>
                <w:sz w:val="22"/>
                <w:szCs w:val="22"/>
              </w:rPr>
            </w:pPr>
          </w:p>
        </w:tc>
      </w:tr>
      <w:tr w:rsidR="002B1B9F" w14:paraId="2A7D550F" w14:textId="77777777" w:rsidTr="00E937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6FE17674" w:rsidR="002B1B9F" w:rsidRDefault="002B1B9F" w:rsidP="00076ED7">
            <w:pPr>
              <w:pStyle w:val="TableRow"/>
              <w:numPr>
                <w:ilvl w:val="0"/>
                <w:numId w:val="16"/>
              </w:numPr>
              <w:rPr>
                <w:sz w:val="22"/>
                <w:szCs w:val="22"/>
              </w:rPr>
            </w:pPr>
            <w:r w:rsidRPr="00E27862">
              <w:rPr>
                <w:rFonts w:cs="Arial"/>
                <w:color w:val="auto"/>
              </w:rPr>
              <w:t xml:space="preserve">To achieve and sustain improved wellbeing for all </w:t>
            </w:r>
            <w:r>
              <w:rPr>
                <w:rFonts w:cs="Arial"/>
                <w:color w:val="auto"/>
              </w:rPr>
              <w:t>children</w:t>
            </w:r>
            <w:r w:rsidRPr="00E27862">
              <w:rPr>
                <w:rFonts w:cs="Arial"/>
                <w:color w:val="auto"/>
              </w:rPr>
              <w:t xml:space="preserve"> in our school, particularly our disadvantaged </w:t>
            </w:r>
            <w:r>
              <w:rPr>
                <w:rFonts w:cs="Arial"/>
                <w:color w:val="auto"/>
              </w:rPr>
              <w:t>children</w:t>
            </w:r>
            <w:r w:rsidRPr="00E27862">
              <w:rPr>
                <w:rFonts w:cs="Arial"/>
                <w:color w:val="auto"/>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824216" w14:textId="77777777" w:rsidR="002B1B9F" w:rsidRPr="00E27862" w:rsidRDefault="002B1B9F" w:rsidP="002B1B9F">
            <w:pPr>
              <w:autoSpaceDN/>
              <w:spacing w:before="60" w:after="60" w:line="240" w:lineRule="auto"/>
              <w:ind w:left="34" w:right="57"/>
              <w:rPr>
                <w:rFonts w:cs="Arial"/>
                <w:color w:val="auto"/>
              </w:rPr>
            </w:pPr>
            <w:r w:rsidRPr="00E27862">
              <w:rPr>
                <w:rFonts w:cs="Arial"/>
                <w:color w:val="auto"/>
              </w:rPr>
              <w:t xml:space="preserve">Sustained high levels of wellbeing </w:t>
            </w:r>
            <w:r>
              <w:rPr>
                <w:rFonts w:cs="Arial"/>
                <w:color w:val="auto"/>
              </w:rPr>
              <w:t xml:space="preserve">by </w:t>
            </w:r>
            <w:r w:rsidRPr="00E27862">
              <w:rPr>
                <w:rFonts w:cs="Arial"/>
                <w:color w:val="auto"/>
              </w:rPr>
              <w:t xml:space="preserve">2024/25 demonstrated </w:t>
            </w:r>
            <w:r>
              <w:rPr>
                <w:rFonts w:cs="Arial"/>
                <w:color w:val="auto"/>
              </w:rPr>
              <w:t>by</w:t>
            </w:r>
            <w:r w:rsidRPr="00E27862">
              <w:rPr>
                <w:rFonts w:cs="Arial"/>
                <w:color w:val="auto"/>
              </w:rPr>
              <w:t>:</w:t>
            </w:r>
          </w:p>
          <w:p w14:paraId="392E3D6E" w14:textId="3627793D" w:rsidR="002B1B9F" w:rsidRPr="00E27862" w:rsidRDefault="002B1B9F" w:rsidP="002B1B9F">
            <w:pPr>
              <w:pStyle w:val="ListParagraph"/>
              <w:numPr>
                <w:ilvl w:val="0"/>
                <w:numId w:val="15"/>
              </w:numPr>
              <w:autoSpaceDN/>
              <w:spacing w:before="60" w:after="120" w:line="240" w:lineRule="auto"/>
              <w:ind w:right="57" w:hanging="357"/>
              <w:contextualSpacing w:val="0"/>
              <w:rPr>
                <w:rFonts w:cs="Arial"/>
                <w:color w:val="auto"/>
              </w:rPr>
            </w:pPr>
            <w:r w:rsidRPr="00E27862">
              <w:rPr>
                <w:rFonts w:cs="Arial"/>
                <w:color w:val="auto"/>
              </w:rPr>
              <w:t xml:space="preserve">qualitative data from student voice, </w:t>
            </w:r>
            <w:r>
              <w:rPr>
                <w:rFonts w:cs="Arial"/>
                <w:color w:val="auto"/>
              </w:rPr>
              <w:t>child</w:t>
            </w:r>
            <w:r w:rsidRPr="00E27862">
              <w:rPr>
                <w:rFonts w:cs="Arial"/>
                <w:color w:val="auto"/>
              </w:rPr>
              <w:t xml:space="preserve"> and parent surveys and teacher observations</w:t>
            </w:r>
          </w:p>
          <w:p w14:paraId="3DF76D1E" w14:textId="77777777" w:rsidR="002B1B9F" w:rsidRPr="00E27862" w:rsidRDefault="002B1B9F" w:rsidP="002B1B9F">
            <w:pPr>
              <w:pStyle w:val="ListParagraph"/>
              <w:numPr>
                <w:ilvl w:val="0"/>
                <w:numId w:val="15"/>
              </w:numPr>
              <w:autoSpaceDN/>
              <w:spacing w:before="60" w:after="120" w:line="240" w:lineRule="auto"/>
              <w:ind w:right="57" w:hanging="357"/>
              <w:contextualSpacing w:val="0"/>
              <w:rPr>
                <w:rFonts w:cs="Arial"/>
                <w:color w:val="auto"/>
              </w:rPr>
            </w:pPr>
            <w:r w:rsidRPr="00E27862">
              <w:rPr>
                <w:rFonts w:cs="Arial"/>
                <w:color w:val="auto"/>
              </w:rPr>
              <w:t>a significant reduction in bullying</w:t>
            </w:r>
          </w:p>
          <w:p w14:paraId="2A7D550E" w14:textId="22796C16" w:rsidR="002B1B9F" w:rsidRDefault="002B1B9F" w:rsidP="002B1B9F">
            <w:pPr>
              <w:pStyle w:val="TableRowCentered"/>
              <w:numPr>
                <w:ilvl w:val="0"/>
                <w:numId w:val="15"/>
              </w:numPr>
              <w:jc w:val="left"/>
              <w:rPr>
                <w:sz w:val="22"/>
                <w:szCs w:val="22"/>
              </w:rPr>
            </w:pPr>
            <w:r w:rsidRPr="00E27862">
              <w:rPr>
                <w:rFonts w:cs="Arial"/>
                <w:color w:val="auto"/>
              </w:rPr>
              <w:t xml:space="preserve">a significant increase in participation in enrichment activities, particularly among disadvantaged </w:t>
            </w:r>
            <w:r>
              <w:rPr>
                <w:rFonts w:cs="Arial"/>
                <w:color w:val="auto"/>
              </w:rPr>
              <w:t>children</w:t>
            </w:r>
            <w:r w:rsidRPr="00E27862">
              <w:rPr>
                <w:rFonts w:cs="Arial"/>
                <w:color w:val="auto"/>
              </w:rPr>
              <w:t xml:space="preserve">  </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92E7A9A" w:rsidR="00E66558" w:rsidRDefault="009D71E8">
      <w:r>
        <w:t xml:space="preserve">Budgeted cost: £ </w:t>
      </w:r>
      <w:r w:rsidR="002000D7" w:rsidRPr="002000D7">
        <w:rPr>
          <w:iCs/>
        </w:rPr>
        <w:t>3049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0817178" w14:textId="77777777" w:rsidR="00E66558" w:rsidRDefault="009D71E8">
            <w:pPr>
              <w:pStyle w:val="TableHeader"/>
              <w:jc w:val="left"/>
            </w:pPr>
            <w:r>
              <w:t>Evidence that supports this approach</w:t>
            </w:r>
          </w:p>
          <w:p w14:paraId="2A7D5517" w14:textId="1F8D07D5" w:rsidR="0050495C" w:rsidRPr="0050495C" w:rsidRDefault="0050495C">
            <w:pPr>
              <w:pStyle w:val="TableHeader"/>
              <w:jc w:val="left"/>
              <w:rPr>
                <w:b w:val="0"/>
                <w:u w:val="single"/>
              </w:rPr>
            </w:pPr>
            <w:r w:rsidRPr="0050495C">
              <w:rPr>
                <w:b w:val="0"/>
                <w:color w:val="1F497D" w:themeColor="text2"/>
                <w:u w:val="single"/>
              </w:rPr>
              <w:t>Hyperlinks shown in blue.</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C8B93A9" w:rsidR="00E66558" w:rsidRPr="00121A85" w:rsidRDefault="00121A85">
            <w:pPr>
              <w:pStyle w:val="TableRow"/>
            </w:pPr>
            <w:r w:rsidRPr="00121A85">
              <w:rPr>
                <w:iCs/>
                <w:sz w:val="22"/>
                <w:szCs w:val="22"/>
              </w:rPr>
              <w:t xml:space="preserve">Release of teaching staff for </w:t>
            </w:r>
            <w:r>
              <w:rPr>
                <w:iCs/>
                <w:sz w:val="22"/>
                <w:szCs w:val="22"/>
              </w:rPr>
              <w:t>training</w:t>
            </w:r>
            <w:r w:rsidRPr="00121A85">
              <w:rPr>
                <w:iCs/>
                <w:sz w:val="22"/>
                <w:szCs w:val="22"/>
              </w:rPr>
              <w:t xml:space="preserve"> and </w:t>
            </w:r>
            <w:r w:rsidRPr="00121A85">
              <w:rPr>
                <w:iCs/>
                <w:sz w:val="22"/>
                <w:szCs w:val="22"/>
              </w:rPr>
              <w:lastRenderedPageBreak/>
              <w:t>implementation of Accelerated Reader for Year 2 and upwards.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392E" w14:textId="3975E355" w:rsidR="00121A85" w:rsidRPr="00121A85" w:rsidRDefault="00121A85" w:rsidP="00121A85">
            <w:pPr>
              <w:pStyle w:val="TableRowCentered"/>
              <w:jc w:val="left"/>
              <w:rPr>
                <w:sz w:val="22"/>
              </w:rPr>
            </w:pPr>
            <w:r w:rsidRPr="00121A85">
              <w:rPr>
                <w:sz w:val="22"/>
              </w:rPr>
              <w:lastRenderedPageBreak/>
              <w:t>When used effectively, diagnostic assessments</w:t>
            </w:r>
            <w:r>
              <w:rPr>
                <w:sz w:val="22"/>
              </w:rPr>
              <w:t xml:space="preserve"> such as Accelerated </w:t>
            </w:r>
            <w:r>
              <w:rPr>
                <w:sz w:val="22"/>
              </w:rPr>
              <w:lastRenderedPageBreak/>
              <w:t>Reader</w:t>
            </w:r>
            <w:r w:rsidRPr="00121A85">
              <w:rPr>
                <w:sz w:val="22"/>
              </w:rPr>
              <w:t xml:space="preserve"> can indicate areas for development for individual </w:t>
            </w:r>
            <w:r>
              <w:rPr>
                <w:sz w:val="22"/>
              </w:rPr>
              <w:t>children</w:t>
            </w:r>
            <w:r w:rsidRPr="00121A85">
              <w:rPr>
                <w:sz w:val="22"/>
              </w:rPr>
              <w:t>, or across classes and year groups:</w:t>
            </w:r>
          </w:p>
          <w:p w14:paraId="2A7D551B" w14:textId="1DBD2C92" w:rsidR="00E66558" w:rsidRPr="00121A85" w:rsidRDefault="0050495C" w:rsidP="00121A85">
            <w:pPr>
              <w:pStyle w:val="TableRowCentered"/>
              <w:jc w:val="left"/>
              <w:rPr>
                <w:sz w:val="22"/>
                <w:u w:val="single"/>
              </w:rPr>
            </w:pPr>
            <w:hyperlink r:id="rId14" w:history="1">
              <w:r w:rsidR="00121A85" w:rsidRPr="0050495C">
                <w:rPr>
                  <w:rStyle w:val="Hyperlink"/>
                  <w:sz w:val="22"/>
                </w:rPr>
                <w:t>Diagnostic assessmen</w:t>
              </w:r>
              <w:r w:rsidR="00121A85" w:rsidRPr="0050495C">
                <w:rPr>
                  <w:rStyle w:val="Hyperlink"/>
                  <w:sz w:val="22"/>
                </w:rPr>
                <w:t>t</w:t>
              </w:r>
              <w:r w:rsidR="00121A85" w:rsidRPr="0050495C">
                <w:rPr>
                  <w:rStyle w:val="Hyperlink"/>
                  <w:sz w:val="22"/>
                </w:rPr>
                <w:t xml:space="preserve">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A8CE118" w:rsidR="00E66558" w:rsidRDefault="00121A85">
            <w:pPr>
              <w:pStyle w:val="TableRowCentered"/>
              <w:jc w:val="left"/>
              <w:rPr>
                <w:sz w:val="22"/>
              </w:rPr>
            </w:pPr>
            <w:r>
              <w:rPr>
                <w:sz w:val="22"/>
              </w:rPr>
              <w:lastRenderedPageBreak/>
              <w:t>1,2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471AA" w14:textId="77777777" w:rsidR="00E66558" w:rsidRDefault="00076ED7">
            <w:pPr>
              <w:pStyle w:val="TableRow"/>
              <w:rPr>
                <w:sz w:val="22"/>
              </w:rPr>
            </w:pPr>
            <w:r w:rsidRPr="00076ED7">
              <w:rPr>
                <w:sz w:val="22"/>
              </w:rPr>
              <w:t>Release of teachers to take part in multi-school maths and English network meetings and moderations.</w:t>
            </w:r>
          </w:p>
          <w:p w14:paraId="2A7D551E" w14:textId="2442D2E1" w:rsidR="00076ED7" w:rsidRPr="00076ED7" w:rsidRDefault="00076ED7">
            <w:pPr>
              <w:pStyle w:val="TableRow"/>
              <w:rPr>
                <w:sz w:val="22"/>
              </w:rPr>
            </w:pPr>
            <w:r>
              <w:rPr>
                <w:sz w:val="22"/>
              </w:rPr>
              <w:t>Staff to have regular training and support with the delivery of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D95B" w14:textId="382F81E0" w:rsidR="00076ED7" w:rsidRPr="00076ED7" w:rsidRDefault="00076ED7" w:rsidP="00076ED7">
            <w:pPr>
              <w:pStyle w:val="TableRowCentered"/>
              <w:jc w:val="left"/>
              <w:rPr>
                <w:sz w:val="22"/>
              </w:rPr>
            </w:pPr>
            <w:r w:rsidRPr="00076ED7">
              <w:rPr>
                <w:sz w:val="22"/>
              </w:rPr>
              <w:t xml:space="preserve">The DfE non-statutory </w:t>
            </w:r>
            <w:r w:rsidR="002000D7" w:rsidRPr="00076ED7">
              <w:rPr>
                <w:sz w:val="22"/>
              </w:rPr>
              <w:t>guidance:</w:t>
            </w:r>
            <w:r w:rsidRPr="00076ED7">
              <w:rPr>
                <w:sz w:val="22"/>
              </w:rPr>
              <w:t xml:space="preserve"> </w:t>
            </w:r>
          </w:p>
          <w:p w14:paraId="2EC6B664" w14:textId="4544651A" w:rsidR="00E66558" w:rsidRDefault="0050495C" w:rsidP="00076ED7">
            <w:pPr>
              <w:pStyle w:val="TableRowCentered"/>
              <w:jc w:val="left"/>
              <w:rPr>
                <w:sz w:val="22"/>
                <w:u w:val="single"/>
              </w:rPr>
            </w:pPr>
            <w:hyperlink r:id="rId15" w:history="1">
              <w:r w:rsidR="00076ED7" w:rsidRPr="0050495C">
                <w:rPr>
                  <w:rStyle w:val="Hyperlink"/>
                  <w:sz w:val="22"/>
                </w:rPr>
                <w:t>Mathematics guidance: key stages 1_and 2</w:t>
              </w:r>
            </w:hyperlink>
          </w:p>
          <w:p w14:paraId="2A7D551F" w14:textId="21DEA9DB" w:rsidR="00076ED7" w:rsidRPr="00076ED7" w:rsidRDefault="0050495C" w:rsidP="00076ED7">
            <w:pPr>
              <w:pStyle w:val="TableRowCentered"/>
              <w:jc w:val="left"/>
              <w:rPr>
                <w:sz w:val="22"/>
                <w:u w:val="single"/>
              </w:rPr>
            </w:pPr>
            <w:hyperlink r:id="rId16" w:history="1">
              <w:r w:rsidR="00076ED7" w:rsidRPr="0050495C">
                <w:rPr>
                  <w:rStyle w:val="Hyperlink"/>
                  <w:sz w:val="22"/>
                </w:rPr>
                <w:t>Maths Hub annual report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2820BB7" w:rsidR="00E66558" w:rsidRDefault="00076ED7">
            <w:pPr>
              <w:pStyle w:val="TableRowCentered"/>
              <w:jc w:val="left"/>
              <w:rPr>
                <w:sz w:val="22"/>
              </w:rPr>
            </w:pPr>
            <w:r>
              <w:rPr>
                <w:sz w:val="22"/>
              </w:rPr>
              <w:t>1,2,3</w:t>
            </w:r>
          </w:p>
        </w:tc>
      </w:tr>
      <w:tr w:rsidR="00076ED7" w14:paraId="3350DB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EF17" w14:textId="21024609" w:rsidR="00076ED7" w:rsidRPr="00076ED7" w:rsidRDefault="00076ED7">
            <w:pPr>
              <w:pStyle w:val="TableRow"/>
              <w:rPr>
                <w:sz w:val="22"/>
              </w:rPr>
            </w:pPr>
            <w:r>
              <w:rPr>
                <w:sz w:val="22"/>
              </w:rPr>
              <w:t>Purchase of Spelling Shed to boost spelling across KS2. This will enable KS2 to continue the use of phonics as a strategy for improving spelling.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1011" w14:textId="7B8B9D46" w:rsidR="0050495C" w:rsidRPr="0050495C" w:rsidRDefault="0050495C" w:rsidP="00076ED7">
            <w:pPr>
              <w:pStyle w:val="TableRowCentered"/>
              <w:jc w:val="left"/>
              <w:rPr>
                <w:sz w:val="22"/>
              </w:rPr>
            </w:pPr>
            <w:r w:rsidRPr="0050495C">
              <w:rPr>
                <w:sz w:val="22"/>
              </w:rPr>
              <w:t xml:space="preserve">Phonics emphasises the skills of decoding new words by sounding them out and combining or </w:t>
            </w:r>
            <w:proofErr w:type="gramStart"/>
            <w:r w:rsidRPr="0050495C">
              <w:rPr>
                <w:sz w:val="22"/>
              </w:rPr>
              <w:t>​‘</w:t>
            </w:r>
            <w:proofErr w:type="gramEnd"/>
            <w:r w:rsidRPr="0050495C">
              <w:rPr>
                <w:sz w:val="22"/>
              </w:rPr>
              <w:t>blending’ the sound-spelling patterns.</w:t>
            </w:r>
          </w:p>
          <w:p w14:paraId="1058F0C1" w14:textId="07E84FEE" w:rsidR="00076ED7" w:rsidRDefault="0050495C" w:rsidP="00076ED7">
            <w:pPr>
              <w:pStyle w:val="TableRowCentered"/>
              <w:jc w:val="left"/>
              <w:rPr>
                <w:sz w:val="22"/>
                <w:u w:val="single"/>
              </w:rPr>
            </w:pPr>
            <w:hyperlink r:id="rId17" w:history="1">
              <w:r w:rsidR="00076ED7" w:rsidRPr="0050495C">
                <w:rPr>
                  <w:rStyle w:val="Hyperlink"/>
                  <w:sz w:val="22"/>
                </w:rPr>
                <w:t>EEF phonics</w:t>
              </w:r>
            </w:hyperlink>
          </w:p>
          <w:p w14:paraId="3C98FC94" w14:textId="06128A86" w:rsidR="00076ED7" w:rsidRPr="00076ED7" w:rsidRDefault="00076ED7" w:rsidP="00076ED7">
            <w:pPr>
              <w:pStyle w:val="TableRowCentered"/>
              <w:jc w:val="left"/>
              <w:rPr>
                <w:sz w:val="22"/>
                <w:u w:val="single"/>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8E95" w14:textId="3F18C6D3" w:rsidR="00076ED7" w:rsidRDefault="00076ED7">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078CECC" w:rsidR="00E66558" w:rsidRDefault="009D71E8">
      <w:r>
        <w:t xml:space="preserve">Budgeted cost: £ </w:t>
      </w:r>
      <w:r w:rsidR="002000D7" w:rsidRPr="002000D7">
        <w:rPr>
          <w:iCs/>
        </w:rPr>
        <w:t>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B62A508" w:rsidR="00E66558" w:rsidRPr="004B03BF" w:rsidRDefault="004B03BF">
            <w:pPr>
              <w:pStyle w:val="TableRow"/>
            </w:pPr>
            <w:r>
              <w:rPr>
                <w:iCs/>
                <w:sz w:val="22"/>
                <w:szCs w:val="22"/>
              </w:rPr>
              <w:t>Delivery by TA of NELI intervention to improve early language in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9080" w14:textId="1BBD79BF" w:rsidR="00E66558" w:rsidRDefault="004B03BF">
            <w:pPr>
              <w:pStyle w:val="TableRowCentered"/>
              <w:jc w:val="left"/>
              <w:rPr>
                <w:sz w:val="22"/>
                <w:u w:val="single"/>
              </w:rPr>
            </w:pPr>
            <w:r>
              <w:rPr>
                <w:sz w:val="22"/>
              </w:rPr>
              <w:t xml:space="preserve">Research carried out by </w:t>
            </w:r>
            <w:hyperlink r:id="rId18" w:history="1">
              <w:r w:rsidRPr="0050495C">
                <w:rPr>
                  <w:rStyle w:val="Hyperlink"/>
                  <w:sz w:val="22"/>
                </w:rPr>
                <w:t>Nuffield and the University of Oxford.</w:t>
              </w:r>
            </w:hyperlink>
          </w:p>
          <w:p w14:paraId="26F3FCE6" w14:textId="77777777" w:rsidR="004B03BF" w:rsidRDefault="004B03BF">
            <w:pPr>
              <w:pStyle w:val="TableRowCentered"/>
              <w:jc w:val="left"/>
              <w:rPr>
                <w:sz w:val="22"/>
              </w:rPr>
            </w:pPr>
          </w:p>
          <w:p w14:paraId="2A7D552A" w14:textId="287B1EB6" w:rsidR="004B03BF" w:rsidRDefault="004B03BF">
            <w:pPr>
              <w:pStyle w:val="TableRowCentered"/>
              <w:jc w:val="left"/>
              <w:rPr>
                <w:sz w:val="22"/>
              </w:rPr>
            </w:pPr>
            <w:r>
              <w:rPr>
                <w:sz w:val="22"/>
              </w:rPr>
              <w:t xml:space="preserve">Evaluation and trials by </w:t>
            </w:r>
            <w:hyperlink r:id="rId19" w:history="1">
              <w:r w:rsidRPr="0050495C">
                <w:rPr>
                  <w:rStyle w:val="Hyperlink"/>
                  <w:sz w:val="22"/>
                </w:rPr>
                <w:t>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9BDB3B4" w:rsidR="00E66558" w:rsidRDefault="004B03BF">
            <w:pPr>
              <w:pStyle w:val="TableRowCentered"/>
              <w:jc w:val="left"/>
              <w:rPr>
                <w:sz w:val="22"/>
              </w:rPr>
            </w:pPr>
            <w:r>
              <w:rPr>
                <w:sz w:val="22"/>
              </w:rPr>
              <w:t>1,2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6953AB" w:rsidR="00E66558" w:rsidRPr="004B03BF" w:rsidRDefault="004B03BF">
            <w:pPr>
              <w:pStyle w:val="TableRow"/>
              <w:rPr>
                <w:sz w:val="22"/>
              </w:rPr>
            </w:pPr>
            <w:r>
              <w:rPr>
                <w:sz w:val="22"/>
              </w:rPr>
              <w:t xml:space="preserve">Delivery by TA of </w:t>
            </w:r>
            <w:proofErr w:type="spellStart"/>
            <w:r>
              <w:rPr>
                <w:sz w:val="22"/>
              </w:rPr>
              <w:t>FunFit</w:t>
            </w:r>
            <w:proofErr w:type="spellEnd"/>
            <w:r>
              <w:rPr>
                <w:sz w:val="22"/>
              </w:rPr>
              <w:t xml:space="preserve"> intervention to improve fine and gross motor skills in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846C" w14:textId="2C049388" w:rsidR="004B03BF" w:rsidRDefault="0050495C">
            <w:pPr>
              <w:pStyle w:val="TableRowCentered"/>
              <w:jc w:val="left"/>
              <w:rPr>
                <w:sz w:val="22"/>
                <w:u w:val="single"/>
              </w:rPr>
            </w:pPr>
            <w:hyperlink r:id="rId20" w:history="1">
              <w:r w:rsidR="004B03BF" w:rsidRPr="0050495C">
                <w:rPr>
                  <w:rStyle w:val="Hyperlink"/>
                  <w:sz w:val="22"/>
                </w:rPr>
                <w:t>National Institute of Health</w:t>
              </w:r>
            </w:hyperlink>
          </w:p>
          <w:p w14:paraId="38240FE6" w14:textId="77777777" w:rsidR="004B03BF" w:rsidRDefault="004B03BF">
            <w:pPr>
              <w:pStyle w:val="TableRowCentered"/>
              <w:jc w:val="left"/>
              <w:rPr>
                <w:sz w:val="22"/>
                <w:u w:val="single"/>
              </w:rPr>
            </w:pPr>
          </w:p>
          <w:p w14:paraId="2A7D552E" w14:textId="7439AEC7" w:rsidR="00E66558" w:rsidRPr="004B03BF" w:rsidRDefault="0050495C">
            <w:pPr>
              <w:pStyle w:val="TableRowCentered"/>
              <w:jc w:val="left"/>
              <w:rPr>
                <w:sz w:val="22"/>
                <w:u w:val="single"/>
              </w:rPr>
            </w:pPr>
            <w:hyperlink r:id="rId21" w:history="1">
              <w:r w:rsidR="004B03BF" w:rsidRPr="0050495C">
                <w:rPr>
                  <w:rStyle w:val="Hyperlink"/>
                  <w:sz w:val="22"/>
                </w:rPr>
                <w:t>NHS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60A28B9" w:rsidR="00E66558" w:rsidRDefault="004B03BF">
            <w:pPr>
              <w:pStyle w:val="TableRowCentered"/>
              <w:jc w:val="left"/>
              <w:rPr>
                <w:sz w:val="22"/>
              </w:rPr>
            </w:pPr>
            <w:r>
              <w:rPr>
                <w:sz w:val="22"/>
              </w:rPr>
              <w:t>1,4</w:t>
            </w:r>
          </w:p>
        </w:tc>
      </w:tr>
      <w:tr w:rsidR="00685235" w14:paraId="4303C04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862D" w14:textId="32E1CC68" w:rsidR="00685235" w:rsidRDefault="00685235">
            <w:pPr>
              <w:pStyle w:val="TableRow"/>
              <w:rPr>
                <w:sz w:val="22"/>
              </w:rPr>
            </w:pPr>
            <w:r>
              <w:rPr>
                <w:sz w:val="22"/>
              </w:rPr>
              <w:t>Delivery by TA of Precision Teach interventions across KS1 and KS2 to target reading, writing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6E27" w14:textId="7F606E7A" w:rsidR="00685235" w:rsidRPr="00685235" w:rsidRDefault="00685235">
            <w:pPr>
              <w:pStyle w:val="TableRowCentered"/>
              <w:jc w:val="left"/>
              <w:rPr>
                <w:sz w:val="22"/>
              </w:rPr>
            </w:pPr>
            <w:r>
              <w:rPr>
                <w:sz w:val="22"/>
              </w:rPr>
              <w:t>Literature review:</w:t>
            </w:r>
          </w:p>
          <w:p w14:paraId="7AD5467C" w14:textId="5615AFAE" w:rsidR="00685235" w:rsidRDefault="0050495C">
            <w:pPr>
              <w:pStyle w:val="TableRowCentered"/>
              <w:jc w:val="left"/>
              <w:rPr>
                <w:sz w:val="22"/>
                <w:u w:val="single"/>
              </w:rPr>
            </w:pPr>
            <w:hyperlink r:id="rId22" w:history="1">
              <w:r w:rsidR="00685235" w:rsidRPr="0050495C">
                <w:rPr>
                  <w:rStyle w:val="Hyperlink"/>
                  <w:sz w:val="22"/>
                </w:rPr>
                <w:t>University College London</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F097" w14:textId="21F03339" w:rsidR="00685235" w:rsidRDefault="00685235">
            <w:pPr>
              <w:pStyle w:val="TableRowCentered"/>
              <w:jc w:val="left"/>
              <w:rPr>
                <w:sz w:val="22"/>
              </w:rPr>
            </w:pPr>
            <w:r>
              <w:rPr>
                <w:sz w:val="22"/>
              </w:rPr>
              <w:t>1,2,3</w:t>
            </w:r>
          </w:p>
        </w:tc>
      </w:tr>
      <w:tr w:rsidR="00685235" w14:paraId="43A9983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BBA5" w14:textId="45D0E3EF" w:rsidR="00685235" w:rsidRDefault="00685235">
            <w:pPr>
              <w:pStyle w:val="TableRow"/>
              <w:rPr>
                <w:sz w:val="22"/>
              </w:rPr>
            </w:pPr>
            <w:r>
              <w:rPr>
                <w:sz w:val="22"/>
              </w:rPr>
              <w:t>Release of teachers and T</w:t>
            </w:r>
            <w:r w:rsidR="002000D7">
              <w:rPr>
                <w:sz w:val="22"/>
              </w:rPr>
              <w:t>A</w:t>
            </w:r>
            <w:r>
              <w:rPr>
                <w:sz w:val="22"/>
              </w:rPr>
              <w:t xml:space="preserve">s to deliver pre and post teach for children below age related expectation in </w:t>
            </w:r>
            <w:r>
              <w:rPr>
                <w:sz w:val="22"/>
              </w:rPr>
              <w:lastRenderedPageBreak/>
              <w:t>reading, writing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541B" w14:textId="0F8DDEB9" w:rsidR="00685235" w:rsidRDefault="00685235">
            <w:pPr>
              <w:pStyle w:val="TableRowCentered"/>
              <w:jc w:val="left"/>
              <w:rPr>
                <w:sz w:val="22"/>
              </w:rPr>
            </w:pPr>
            <w:r>
              <w:rPr>
                <w:sz w:val="22"/>
              </w:rPr>
              <w:lastRenderedPageBreak/>
              <w:t>Impact of Pre-teaching in maths</w:t>
            </w:r>
          </w:p>
          <w:p w14:paraId="11D39676" w14:textId="7CCAF143" w:rsidR="00685235" w:rsidRDefault="0050495C">
            <w:pPr>
              <w:pStyle w:val="TableRowCentered"/>
              <w:jc w:val="left"/>
              <w:rPr>
                <w:sz w:val="22"/>
                <w:u w:val="single"/>
              </w:rPr>
            </w:pPr>
            <w:hyperlink r:id="rId23" w:history="1">
              <w:r w:rsidR="00685235" w:rsidRPr="0050495C">
                <w:rPr>
                  <w:rStyle w:val="Hyperlink"/>
                  <w:sz w:val="22"/>
                </w:rPr>
                <w:t>Nottingham Trent University</w:t>
              </w:r>
            </w:hyperlink>
          </w:p>
          <w:p w14:paraId="17F5B17A" w14:textId="77777777" w:rsidR="00685235" w:rsidRDefault="00685235">
            <w:pPr>
              <w:pStyle w:val="TableRowCentered"/>
              <w:jc w:val="left"/>
              <w:rPr>
                <w:sz w:val="22"/>
                <w:u w:val="single"/>
              </w:rPr>
            </w:pPr>
          </w:p>
          <w:p w14:paraId="1AD21B85" w14:textId="00E52889" w:rsidR="00685235" w:rsidRPr="00685235" w:rsidRDefault="00685235">
            <w:pPr>
              <w:pStyle w:val="TableRowCentered"/>
              <w:jc w:val="left"/>
              <w:rPr>
                <w:sz w:val="22"/>
              </w:rPr>
            </w:pPr>
            <w:r>
              <w:rPr>
                <w:sz w:val="22"/>
              </w:rPr>
              <w:t>Teaching Assistant Interventions</w:t>
            </w:r>
          </w:p>
          <w:p w14:paraId="068F8C26" w14:textId="2EC7A4E5" w:rsidR="00685235" w:rsidRPr="00685235" w:rsidRDefault="0050495C">
            <w:pPr>
              <w:pStyle w:val="TableRowCentered"/>
              <w:jc w:val="left"/>
              <w:rPr>
                <w:sz w:val="22"/>
                <w:u w:val="single"/>
              </w:rPr>
            </w:pPr>
            <w:hyperlink r:id="rId24" w:history="1">
              <w:r w:rsidR="00685235" w:rsidRPr="0050495C">
                <w:rPr>
                  <w:rStyle w:val="Hyperlink"/>
                  <w:sz w:val="22"/>
                </w:rPr>
                <w:t>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05429" w14:textId="058B952B" w:rsidR="00685235" w:rsidRDefault="00685235">
            <w:pPr>
              <w:pStyle w:val="TableRowCentered"/>
              <w:jc w:val="left"/>
              <w:rPr>
                <w:sz w:val="22"/>
              </w:rPr>
            </w:pPr>
            <w:r>
              <w:rPr>
                <w:sz w:val="22"/>
              </w:rPr>
              <w:t>1,2,3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FB937DC" w:rsidR="00E66558" w:rsidRDefault="009D71E8">
      <w:pPr>
        <w:spacing w:before="240" w:after="120"/>
      </w:pPr>
      <w:r>
        <w:t xml:space="preserve">Budgeted cost: £ </w:t>
      </w:r>
      <w:r w:rsidR="002000D7" w:rsidRPr="002000D7">
        <w:rPr>
          <w:iCs/>
        </w:rPr>
        <w:t>2500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FBD0157" w:rsidR="00E66558" w:rsidRPr="00685235" w:rsidRDefault="00685235">
            <w:pPr>
              <w:pStyle w:val="TableRow"/>
            </w:pPr>
            <w:r>
              <w:rPr>
                <w:iCs/>
                <w:sz w:val="22"/>
                <w:szCs w:val="22"/>
              </w:rPr>
              <w:t>Release of SENCO to deliver targeted SEMH interventions to children, focusing on self-esteem and resilience.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B039" w14:textId="628E9785" w:rsidR="00E66558" w:rsidRPr="00BD6D71" w:rsidRDefault="0050495C" w:rsidP="0050495C">
            <w:pPr>
              <w:pStyle w:val="TableRowCentered"/>
              <w:jc w:val="left"/>
              <w:rPr>
                <w:sz w:val="22"/>
              </w:rPr>
            </w:pPr>
            <w:r w:rsidRPr="00BD6D71">
              <w:rPr>
                <w:sz w:val="22"/>
              </w:rPr>
              <w:t>SEN support: A rapid</w:t>
            </w:r>
            <w:r w:rsidRPr="00BD6D71">
              <w:rPr>
                <w:sz w:val="22"/>
              </w:rPr>
              <w:t xml:space="preserve"> </w:t>
            </w:r>
            <w:r w:rsidRPr="00BD6D71">
              <w:rPr>
                <w:sz w:val="22"/>
              </w:rPr>
              <w:t>evidence assessment</w:t>
            </w:r>
          </w:p>
          <w:p w14:paraId="676ACE0D" w14:textId="7F755795" w:rsidR="0050495C" w:rsidRDefault="00BD6D71" w:rsidP="0050495C">
            <w:pPr>
              <w:pStyle w:val="TableRowCentered"/>
              <w:jc w:val="left"/>
              <w:rPr>
                <w:sz w:val="22"/>
                <w:u w:val="single"/>
              </w:rPr>
            </w:pPr>
            <w:hyperlink r:id="rId25" w:history="1">
              <w:r w:rsidR="0050495C" w:rsidRPr="00BD6D71">
                <w:rPr>
                  <w:rStyle w:val="Hyperlink"/>
                  <w:sz w:val="22"/>
                </w:rPr>
                <w:t>DFE</w:t>
              </w:r>
            </w:hyperlink>
          </w:p>
          <w:p w14:paraId="30981DE9" w14:textId="77777777" w:rsidR="00685235" w:rsidRDefault="00685235">
            <w:pPr>
              <w:pStyle w:val="TableRowCentered"/>
              <w:jc w:val="left"/>
              <w:rPr>
                <w:sz w:val="22"/>
                <w:u w:val="single"/>
              </w:rPr>
            </w:pPr>
          </w:p>
          <w:p w14:paraId="2A7D5539" w14:textId="3F703286" w:rsidR="00685235" w:rsidRPr="00685235" w:rsidRDefault="00BD6D71">
            <w:pPr>
              <w:pStyle w:val="TableRowCentered"/>
              <w:jc w:val="left"/>
              <w:rPr>
                <w:sz w:val="22"/>
                <w:u w:val="single"/>
              </w:rPr>
            </w:pPr>
            <w:hyperlink r:id="rId26" w:history="1">
              <w:r w:rsidR="00685235" w:rsidRPr="00BD6D71">
                <w:rPr>
                  <w:rStyle w:val="Hyperlink"/>
                  <w:sz w:val="22"/>
                </w:rPr>
                <w:t>Social and emotional learning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0E97379" w:rsidR="00E66558" w:rsidRDefault="00685235">
            <w:pPr>
              <w:pStyle w:val="TableRowCentered"/>
              <w:jc w:val="left"/>
              <w:rPr>
                <w:sz w:val="22"/>
              </w:rPr>
            </w:pPr>
            <w:r>
              <w:rPr>
                <w:sz w:val="22"/>
              </w:rPr>
              <w:t>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0F90158" w:rsidR="00E66558" w:rsidRPr="00685235" w:rsidRDefault="00685235">
            <w:pPr>
              <w:pStyle w:val="TableRow"/>
              <w:rPr>
                <w:sz w:val="22"/>
              </w:rPr>
            </w:pPr>
            <w:r>
              <w:rPr>
                <w:sz w:val="22"/>
              </w:rPr>
              <w:t>Financial support to families to attend school camp and 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43B7" w14:textId="5ECAFACC" w:rsidR="00E66558" w:rsidRDefault="00BD6D71">
            <w:pPr>
              <w:pStyle w:val="TableRowCentered"/>
              <w:jc w:val="left"/>
              <w:rPr>
                <w:sz w:val="22"/>
                <w:u w:val="single"/>
              </w:rPr>
            </w:pPr>
            <w:hyperlink r:id="rId27" w:history="1">
              <w:r w:rsidR="00685235" w:rsidRPr="00BD6D71">
                <w:rPr>
                  <w:rStyle w:val="Hyperlink"/>
                  <w:sz w:val="22"/>
                </w:rPr>
                <w:t>Outdoor adventure learning EEF</w:t>
              </w:r>
            </w:hyperlink>
          </w:p>
          <w:p w14:paraId="7A09B849" w14:textId="77777777" w:rsidR="00685235" w:rsidRDefault="00685235">
            <w:pPr>
              <w:pStyle w:val="TableRowCentered"/>
              <w:jc w:val="left"/>
              <w:rPr>
                <w:sz w:val="22"/>
                <w:u w:val="single"/>
              </w:rPr>
            </w:pPr>
          </w:p>
          <w:p w14:paraId="64FBC93D" w14:textId="77777777" w:rsidR="00685235" w:rsidRDefault="002000D7">
            <w:pPr>
              <w:pStyle w:val="TableRowCentered"/>
              <w:jc w:val="left"/>
              <w:rPr>
                <w:sz w:val="22"/>
              </w:rPr>
            </w:pPr>
            <w:r w:rsidRPr="002000D7">
              <w:rPr>
                <w:sz w:val="22"/>
              </w:rPr>
              <w:t>The Benefits of Participating in Extracurricular Activities</w:t>
            </w:r>
          </w:p>
          <w:p w14:paraId="2A7D553D" w14:textId="3B7BDEDD" w:rsidR="002000D7" w:rsidRPr="002000D7" w:rsidRDefault="00BD6D71">
            <w:pPr>
              <w:pStyle w:val="TableRowCentered"/>
              <w:jc w:val="left"/>
              <w:rPr>
                <w:sz w:val="22"/>
                <w:u w:val="single"/>
              </w:rPr>
            </w:pPr>
            <w:r>
              <w:rPr>
                <w:sz w:val="22"/>
                <w:u w:val="single"/>
              </w:rPr>
              <w:fldChar w:fldCharType="begin"/>
            </w:r>
            <w:r>
              <w:rPr>
                <w:sz w:val="22"/>
                <w:u w:val="single"/>
              </w:rPr>
              <w:instrText xml:space="preserve"> HYPERLINK "https://assets.publishing.service.gov.uk/media/5d307b8de5274a14e9f6bc20/An_Unequal_Playing_Field_report.pdf" </w:instrText>
            </w:r>
            <w:r>
              <w:rPr>
                <w:sz w:val="22"/>
                <w:u w:val="single"/>
              </w:rPr>
            </w:r>
            <w:r>
              <w:rPr>
                <w:sz w:val="22"/>
                <w:u w:val="single"/>
              </w:rPr>
              <w:fldChar w:fldCharType="separate"/>
            </w:r>
            <w:r w:rsidR="002000D7" w:rsidRPr="00BD6D71">
              <w:rPr>
                <w:rStyle w:val="Hyperlink"/>
                <w:sz w:val="22"/>
              </w:rPr>
              <w:t>DFE</w:t>
            </w:r>
            <w:r>
              <w:rPr>
                <w:sz w:val="22"/>
                <w:u w:val="single"/>
              </w:rPr>
              <w:fldChar w:fldCharType="end"/>
            </w:r>
            <w:bookmarkStart w:id="18" w:name="_GoBack"/>
            <w:bookmarkEnd w:id="18"/>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BB57FAE" w:rsidR="00E66558" w:rsidRDefault="00685235">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291A928B" w:rsidR="00E66558" w:rsidRDefault="009D71E8" w:rsidP="00120AB1">
      <w:r>
        <w:rPr>
          <w:b/>
          <w:bCs/>
          <w:color w:val="104F75"/>
          <w:sz w:val="28"/>
          <w:szCs w:val="28"/>
        </w:rPr>
        <w:t xml:space="preserve">Total budgeted cost: £ </w:t>
      </w:r>
      <w:r w:rsidR="002000D7" w:rsidRPr="002000D7">
        <w:rPr>
          <w:iCs/>
          <w:color w:val="104F75"/>
          <w:sz w:val="28"/>
          <w:szCs w:val="28"/>
        </w:rPr>
        <w:t>13,549</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D2B094" w14:textId="414025F8" w:rsidR="00697EE1" w:rsidRPr="00697EE1" w:rsidRDefault="00765A8B" w:rsidP="00697EE1">
            <w:pPr>
              <w:rPr>
                <w:iCs/>
                <w:color w:val="000000"/>
              </w:rPr>
            </w:pPr>
            <w:r>
              <w:rPr>
                <w:iCs/>
                <w:color w:val="000000"/>
              </w:rPr>
              <w:t xml:space="preserve">St </w:t>
            </w:r>
            <w:proofErr w:type="spellStart"/>
            <w:r>
              <w:rPr>
                <w:iCs/>
                <w:color w:val="000000"/>
              </w:rPr>
              <w:t>Breward</w:t>
            </w:r>
            <w:proofErr w:type="spellEnd"/>
            <w:r>
              <w:rPr>
                <w:iCs/>
                <w:color w:val="000000"/>
              </w:rPr>
              <w:t xml:space="preserve"> School has gone through a period of transition, with a number of staff changes including a new headteacher for the start of the 2023-2024 academic year. </w:t>
            </w:r>
            <w:r w:rsidR="00697EE1" w:rsidRPr="00697EE1">
              <w:rPr>
                <w:iCs/>
                <w:color w:val="000000"/>
              </w:rPr>
              <w:t>We have analysed the performance of our school’s disadvantaged pupils during the previous academic year, drawing on national assessment data and our own internal summative and formative assessments.</w:t>
            </w:r>
          </w:p>
          <w:p w14:paraId="7DD2A6F6" w14:textId="36B04002" w:rsidR="00697EE1" w:rsidRPr="00697EE1" w:rsidRDefault="00697EE1" w:rsidP="00697EE1">
            <w:pPr>
              <w:rPr>
                <w:iCs/>
                <w:color w:val="000000"/>
              </w:rPr>
            </w:pPr>
            <w:r w:rsidRPr="00697EE1">
              <w:rPr>
                <w:iCs/>
                <w:color w:val="000000"/>
              </w:rPr>
              <w:t xml:space="preserve">The data demonstrated that </w:t>
            </w:r>
            <w:r w:rsidR="00765A8B">
              <w:rPr>
                <w:iCs/>
                <w:color w:val="000000"/>
              </w:rPr>
              <w:t>the attainment of disadvantaged children, at the end of KS2 in reading, writing and maths (0%) was below that of the national average (58.8%). It is important to note that this data only applies to one child. In KS1 the phonics screening pass rate was 89% which matches the national level</w:t>
            </w:r>
            <w:proofErr w:type="gramStart"/>
            <w:r w:rsidR="00765A8B">
              <w:rPr>
                <w:iCs/>
                <w:color w:val="000000"/>
              </w:rPr>
              <w:t xml:space="preserve">. </w:t>
            </w:r>
            <w:r w:rsidRPr="00697EE1">
              <w:rPr>
                <w:iCs/>
                <w:color w:val="000000"/>
              </w:rPr>
              <w:t>.</w:t>
            </w:r>
            <w:proofErr w:type="gramEnd"/>
            <w:r w:rsidRPr="00697EE1">
              <w:rPr>
                <w:iCs/>
                <w:color w:val="000000"/>
              </w:rPr>
              <w:t xml:space="preserve">  </w:t>
            </w:r>
          </w:p>
          <w:p w14:paraId="155C2474" w14:textId="05A0D965" w:rsidR="00697EE1" w:rsidRPr="00697EE1" w:rsidRDefault="00697EE1" w:rsidP="00697EE1">
            <w:pPr>
              <w:rPr>
                <w:iCs/>
                <w:color w:val="000000"/>
              </w:rPr>
            </w:pPr>
            <w:r w:rsidRPr="00697EE1">
              <w:rPr>
                <w:iCs/>
                <w:color w:val="000000"/>
              </w:rPr>
              <w:t xml:space="preserve">The data demonstrates that </w:t>
            </w:r>
            <w:r w:rsidR="00765A8B">
              <w:rPr>
                <w:iCs/>
                <w:color w:val="000000"/>
              </w:rPr>
              <w:t xml:space="preserve">the implementation of a systematic phonics scheme (Little </w:t>
            </w:r>
            <w:proofErr w:type="spellStart"/>
            <w:r w:rsidR="00765A8B">
              <w:rPr>
                <w:iCs/>
                <w:color w:val="000000"/>
              </w:rPr>
              <w:t>Wandle</w:t>
            </w:r>
            <w:proofErr w:type="spellEnd"/>
            <w:r w:rsidR="00765A8B">
              <w:rPr>
                <w:iCs/>
                <w:color w:val="000000"/>
              </w:rPr>
              <w:t xml:space="preserve">) has had a positive impact on early reading in the school. </w:t>
            </w:r>
            <w:r w:rsidR="00123356">
              <w:rPr>
                <w:iCs/>
                <w:color w:val="000000"/>
              </w:rPr>
              <w:t>The data in KS2 has led to a review of curriculum, delivery and interventions and adaptations will be implemented across 2023-2024 in order for us to achieve the intended outcomes as listed above.</w:t>
            </w:r>
          </w:p>
          <w:p w14:paraId="0AEF3E00" w14:textId="15A45DB6" w:rsidR="00697EE1" w:rsidRPr="00697EE1" w:rsidRDefault="00697EE1" w:rsidP="00697EE1">
            <w:pPr>
              <w:rPr>
                <w:iCs/>
                <w:color w:val="000000"/>
              </w:rPr>
            </w:pPr>
            <w:r w:rsidRPr="00697EE1">
              <w:rPr>
                <w:iCs/>
                <w:color w:val="000000"/>
              </w:rPr>
              <w:t xml:space="preserve">We have also drawn on school data and observations to assess wider issues impacting disadvantaged </w:t>
            </w:r>
            <w:r w:rsidR="00123356">
              <w:rPr>
                <w:iCs/>
                <w:color w:val="000000"/>
              </w:rPr>
              <w:t xml:space="preserve">children’s </w:t>
            </w:r>
            <w:r w:rsidRPr="00697EE1">
              <w:rPr>
                <w:iCs/>
                <w:color w:val="000000"/>
              </w:rPr>
              <w:t>performance, including attendance, behaviour and wellbeing.</w:t>
            </w:r>
          </w:p>
          <w:p w14:paraId="172A40E5" w14:textId="1BAD80AD" w:rsidR="00697EE1" w:rsidRPr="00697EE1" w:rsidRDefault="00697EE1" w:rsidP="00697EE1">
            <w:pPr>
              <w:rPr>
                <w:iCs/>
                <w:color w:val="000000"/>
              </w:rPr>
            </w:pPr>
            <w:r w:rsidRPr="00697EE1">
              <w:rPr>
                <w:iCs/>
                <w:color w:val="000000"/>
              </w:rPr>
              <w:t xml:space="preserve">The data demonstrated that </w:t>
            </w:r>
            <w:r w:rsidR="00E1167E">
              <w:rPr>
                <w:iCs/>
                <w:color w:val="000000"/>
              </w:rPr>
              <w:t>attendance for the academic year 2022-2023 was 93.5% compared to the national average of 95%. This suggests that we still have work to do regarding attendance across the school.</w:t>
            </w:r>
          </w:p>
          <w:p w14:paraId="4B086230" w14:textId="6D35E70E" w:rsidR="00697EE1" w:rsidRPr="00697EE1" w:rsidRDefault="00697EE1" w:rsidP="00697EE1">
            <w:pPr>
              <w:rPr>
                <w:iCs/>
                <w:color w:val="000000"/>
              </w:rPr>
            </w:pPr>
            <w:r w:rsidRPr="00697EE1">
              <w:rPr>
                <w:iCs/>
                <w:color w:val="000000"/>
              </w:rPr>
              <w:t xml:space="preserve">Based on all the information above, the performance of our disadvantaged pupils did not meet expectations, and </w:t>
            </w:r>
            <w:r w:rsidR="00E1167E">
              <w:rPr>
                <w:iCs/>
                <w:color w:val="000000"/>
              </w:rPr>
              <w:t>as a result we have re-evaluated the activities we will take</w:t>
            </w:r>
            <w:r w:rsidRPr="00697EE1">
              <w:rPr>
                <w:iCs/>
                <w:color w:val="000000"/>
              </w:rPr>
              <w:t xml:space="preserve"> to achieve the outcomes we set out to achieve by 2024/25, as stated in the Intended Outcomes section above. </w:t>
            </w:r>
            <w:r w:rsidR="00E1167E" w:rsidRPr="00697EE1">
              <w:rPr>
                <w:iCs/>
                <w:color w:val="000000"/>
              </w:rPr>
              <w:t>We have reviewed our strategy plan and made changes to how we intend to use some of our budget this academic year.</w:t>
            </w:r>
          </w:p>
          <w:p w14:paraId="1BABB2D7" w14:textId="5917C2D1" w:rsidR="00697EE1" w:rsidRPr="00697EE1" w:rsidRDefault="00697EE1" w:rsidP="00697EE1">
            <w:pPr>
              <w:rPr>
                <w:iCs/>
                <w:color w:val="000000"/>
              </w:rPr>
            </w:pPr>
            <w:r w:rsidRPr="00697EE1">
              <w:rPr>
                <w:iCs/>
                <w:color w:val="000000"/>
              </w:rPr>
              <w:t xml:space="preserve">Our evaluation of the approaches delivered last academic year indicates that </w:t>
            </w:r>
            <w:r w:rsidR="00E1167E">
              <w:rPr>
                <w:iCs/>
                <w:color w:val="000000"/>
              </w:rPr>
              <w:t xml:space="preserve">St </w:t>
            </w:r>
            <w:proofErr w:type="spellStart"/>
            <w:r w:rsidR="00E1167E">
              <w:rPr>
                <w:iCs/>
                <w:color w:val="000000"/>
              </w:rPr>
              <w:t>Breward</w:t>
            </w:r>
            <w:proofErr w:type="spellEnd"/>
            <w:r w:rsidR="00E1167E">
              <w:rPr>
                <w:iCs/>
                <w:color w:val="000000"/>
              </w:rPr>
              <w:t xml:space="preserve"> Primary School has a strong start to reading with a successful phonics scheme and language interventions, but more work need</w:t>
            </w:r>
            <w:r w:rsidR="005C3B0B">
              <w:rPr>
                <w:iCs/>
                <w:color w:val="000000"/>
              </w:rPr>
              <w:t>ed</w:t>
            </w:r>
            <w:r w:rsidR="00E1167E">
              <w:rPr>
                <w:iCs/>
                <w:color w:val="000000"/>
              </w:rPr>
              <w:t xml:space="preserve"> to be carried out in KS2 to ensure no child is left behind. </w:t>
            </w:r>
            <w:r w:rsidR="005C3B0B">
              <w:rPr>
                <w:iCs/>
                <w:color w:val="000000"/>
              </w:rPr>
              <w:t xml:space="preserve">The new pupil premium strategy for 2023-2024 identifies these challenges and provides a clear plan for the school to achieve the outcomes </w:t>
            </w:r>
            <w:r w:rsidR="00C45D4B">
              <w:rPr>
                <w:iCs/>
                <w:color w:val="000000"/>
              </w:rPr>
              <w:t>by</w:t>
            </w:r>
            <w:r w:rsidR="005C3B0B">
              <w:rPr>
                <w:iCs/>
                <w:color w:val="000000"/>
              </w:rPr>
              <w:t xml:space="preserve"> 2024/2025.</w:t>
            </w:r>
          </w:p>
          <w:p w14:paraId="5023926C" w14:textId="7DCAEEBE" w:rsidR="0064167B" w:rsidRPr="002F4C6F" w:rsidRDefault="0064167B" w:rsidP="00697EE1">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5"/>
      <w:bookmarkEnd w:id="16"/>
      <w:bookmarkEnd w:id="17"/>
    </w:tbl>
    <w:p w14:paraId="2A7D5564" w14:textId="77777777" w:rsidR="00E66558" w:rsidRDefault="00E66558"/>
    <w:sectPr w:rsidR="00E66558">
      <w:headerReference w:type="default" r:id="rId2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170" w14:textId="77777777" w:rsidR="00640512" w:rsidRDefault="00640512">
      <w:pPr>
        <w:spacing w:after="0" w:line="240" w:lineRule="auto"/>
      </w:pPr>
      <w:r>
        <w:separator/>
      </w:r>
    </w:p>
  </w:endnote>
  <w:endnote w:type="continuationSeparator" w:id="0">
    <w:p w14:paraId="115F6282" w14:textId="77777777" w:rsidR="00640512" w:rsidRDefault="00640512">
      <w:pPr>
        <w:spacing w:after="0" w:line="240" w:lineRule="auto"/>
      </w:pPr>
      <w:r>
        <w:continuationSeparator/>
      </w:r>
    </w:p>
  </w:endnote>
  <w:endnote w:type="continuationNotice" w:id="1">
    <w:p w14:paraId="6940DAB1" w14:textId="77777777" w:rsidR="00640512" w:rsidRDefault="00640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640512" w:rsidRDefault="0064051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9BF" w14:textId="77777777" w:rsidR="00640512" w:rsidRDefault="00640512">
      <w:pPr>
        <w:spacing w:after="0" w:line="240" w:lineRule="auto"/>
      </w:pPr>
      <w:r>
        <w:separator/>
      </w:r>
    </w:p>
  </w:footnote>
  <w:footnote w:type="continuationSeparator" w:id="0">
    <w:p w14:paraId="1DECC6F9" w14:textId="77777777" w:rsidR="00640512" w:rsidRDefault="00640512">
      <w:pPr>
        <w:spacing w:after="0" w:line="240" w:lineRule="auto"/>
      </w:pPr>
      <w:r>
        <w:continuationSeparator/>
      </w:r>
    </w:p>
  </w:footnote>
  <w:footnote w:type="continuationNotice" w:id="1">
    <w:p w14:paraId="71E2D879" w14:textId="77777777" w:rsidR="00640512" w:rsidRDefault="006405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640512" w:rsidRDefault="0064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43501"/>
    <w:multiLevelType w:val="hybridMultilevel"/>
    <w:tmpl w:val="5B040D78"/>
    <w:lvl w:ilvl="0" w:tplc="F820917A">
      <w:start w:val="1"/>
      <w:numFmt w:val="decimal"/>
      <w:lvlText w:val="%1."/>
      <w:lvlJc w:val="left"/>
      <w:pPr>
        <w:ind w:left="417" w:hanging="360"/>
      </w:pPr>
      <w:rPr>
        <w:rFonts w:cs="Arial" w:hint="default"/>
        <w:color w:val="auto"/>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46C44A20"/>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5"/>
  </w:num>
  <w:num w:numId="9">
    <w:abstractNumId w:val="13"/>
  </w:num>
  <w:num w:numId="10">
    <w:abstractNumId w:val="11"/>
  </w:num>
  <w:num w:numId="11">
    <w:abstractNumId w:val="2"/>
  </w:num>
  <w:num w:numId="12">
    <w:abstractNumId w:val="14"/>
  </w:num>
  <w:num w:numId="13">
    <w:abstractNumId w:val="9"/>
  </w:num>
  <w:num w:numId="14">
    <w:abstractNumId w:val="7"/>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76ED7"/>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1A85"/>
    <w:rsid w:val="00123356"/>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00D7"/>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96F04"/>
    <w:rsid w:val="002B1B9F"/>
    <w:rsid w:val="002B3574"/>
    <w:rsid w:val="002B6B74"/>
    <w:rsid w:val="002C6AE7"/>
    <w:rsid w:val="002D2D4B"/>
    <w:rsid w:val="002D3805"/>
    <w:rsid w:val="002E66AE"/>
    <w:rsid w:val="002E7763"/>
    <w:rsid w:val="002F37FF"/>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3BF"/>
    <w:rsid w:val="004B0485"/>
    <w:rsid w:val="004B428E"/>
    <w:rsid w:val="004B4D0A"/>
    <w:rsid w:val="004B4D37"/>
    <w:rsid w:val="004C42F0"/>
    <w:rsid w:val="004D50C8"/>
    <w:rsid w:val="004D6B72"/>
    <w:rsid w:val="004E1D73"/>
    <w:rsid w:val="004E72DD"/>
    <w:rsid w:val="005025FB"/>
    <w:rsid w:val="00503462"/>
    <w:rsid w:val="0050495C"/>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0ED3"/>
    <w:rsid w:val="005750E2"/>
    <w:rsid w:val="0058313F"/>
    <w:rsid w:val="00585859"/>
    <w:rsid w:val="00586FBC"/>
    <w:rsid w:val="005879C9"/>
    <w:rsid w:val="0059392E"/>
    <w:rsid w:val="00594CAD"/>
    <w:rsid w:val="005A1D0B"/>
    <w:rsid w:val="005A3C6B"/>
    <w:rsid w:val="005B1EA5"/>
    <w:rsid w:val="005C3B0B"/>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0512"/>
    <w:rsid w:val="0064113A"/>
    <w:rsid w:val="0064167B"/>
    <w:rsid w:val="00644002"/>
    <w:rsid w:val="006458B1"/>
    <w:rsid w:val="00650529"/>
    <w:rsid w:val="00650BAB"/>
    <w:rsid w:val="00651737"/>
    <w:rsid w:val="006652DD"/>
    <w:rsid w:val="006671BF"/>
    <w:rsid w:val="00672A7D"/>
    <w:rsid w:val="00681416"/>
    <w:rsid w:val="00685235"/>
    <w:rsid w:val="00697EE1"/>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13450"/>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A8B"/>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8FC"/>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6D71"/>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45D4B"/>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236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192D"/>
    <w:rsid w:val="00DC641A"/>
    <w:rsid w:val="00DD21A1"/>
    <w:rsid w:val="00DD6B7D"/>
    <w:rsid w:val="00DD6E14"/>
    <w:rsid w:val="00DE15AC"/>
    <w:rsid w:val="00DF2015"/>
    <w:rsid w:val="00E061EC"/>
    <w:rsid w:val="00E10E81"/>
    <w:rsid w:val="00E1167E"/>
    <w:rsid w:val="00E13E51"/>
    <w:rsid w:val="00E21F56"/>
    <w:rsid w:val="00E3014F"/>
    <w:rsid w:val="00E4286E"/>
    <w:rsid w:val="00E43EAD"/>
    <w:rsid w:val="00E62DCB"/>
    <w:rsid w:val="00E651DD"/>
    <w:rsid w:val="00E66558"/>
    <w:rsid w:val="00E70D81"/>
    <w:rsid w:val="00E726A6"/>
    <w:rsid w:val="00E73418"/>
    <w:rsid w:val="00E8109E"/>
    <w:rsid w:val="00E827D6"/>
    <w:rsid w:val="00E86F05"/>
    <w:rsid w:val="00EA2451"/>
    <w:rsid w:val="00EA3A2A"/>
    <w:rsid w:val="00EB4556"/>
    <w:rsid w:val="00EB64C8"/>
    <w:rsid w:val="00EB71F7"/>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6DD0"/>
    <w:rsid w:val="00FC28DF"/>
    <w:rsid w:val="00FD2297"/>
    <w:rsid w:val="00FD4226"/>
    <w:rsid w:val="00FD6AC6"/>
    <w:rsid w:val="00FE3136"/>
    <w:rsid w:val="00FE34E2"/>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18" Type="http://schemas.openxmlformats.org/officeDocument/2006/relationships/hyperlink" Target="https://global.oup.com/education/content/primary/series/nuffield-intervention/?region=uk"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customXml" Target="../customXml/item3.xml"/><Relationship Id="rId21" Type="http://schemas.openxmlformats.org/officeDocument/2006/relationships/hyperlink" Target="https://childrenandfamilyhealthdevon.nhs.uk/occupational-therapy/professional/" TargetMode="External"/><Relationship Id="rId7" Type="http://schemas.openxmlformats.org/officeDocument/2006/relationships/webSettings" Target="web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assets.publishing.service.gov.uk/media/5a822e2c40f0b6230269b43a/DfE_SEN_Support_REA_Report.pdf" TargetMode="External"/><Relationship Id="rId2" Type="http://schemas.openxmlformats.org/officeDocument/2006/relationships/customXml" Target="../customXml/item2.xml"/><Relationship Id="rId16" Type="http://schemas.openxmlformats.org/officeDocument/2006/relationships/hyperlink" Target="https://www.ncetm.org.uk/media/ivjdmdao/maths_hubs_annual_report_2022.pdf" TargetMode="External"/><Relationship Id="rId20" Type="http://schemas.openxmlformats.org/officeDocument/2006/relationships/hyperlink" Target="https://www.ncbi.nlm.nih.gov/pmc/articles/PMC1049399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24"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styles" Target="styles.xml"/><Relationship Id="rId15" Type="http://schemas.openxmlformats.org/officeDocument/2006/relationships/hyperlink" Target="https://assets.publishing.service.gov.uk/media/6140b7008fa8f503ba3dc8d1/Maths_guidance_KS_1_and_2.pdf" TargetMode="External"/><Relationship Id="rId23" Type="http://schemas.openxmlformats.org/officeDocument/2006/relationships/hyperlink" Target="https://www.ntu.ac.uk/__data/assets/pdf_file/0041/856967/Pre-teaching-presentation.pdf" TargetMode="External"/><Relationship Id="rId28" Type="http://schemas.openxmlformats.org/officeDocument/2006/relationships/header" Target="header1.xml"/><Relationship Id="rId10" Type="http://schemas.openxmlformats.org/officeDocument/2006/relationships/hyperlink" Target="https://educationendowmentfoundation.org.uk/guidance-for-teachers/using-pupil-premium" TargetMode="External"/><Relationship Id="rId19" Type="http://schemas.openxmlformats.org/officeDocument/2006/relationships/hyperlink" Target="https://educationendowmentfoundation.org.uk/projects-and-evaluation/projects/nuffield-early-language-interventio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eef-blog-the-impact-of-covid-19-and-catching-up" TargetMode="External"/><Relationship Id="rId22" Type="http://schemas.openxmlformats.org/officeDocument/2006/relationships/hyperlink" Target="https://www.ucl.ac.uk/educational-psychology/resources/CS1Murton15-18.pdf" TargetMode="External"/><Relationship Id="rId27" Type="http://schemas.openxmlformats.org/officeDocument/2006/relationships/hyperlink" Target="https://educationendowmentfoundation.org.uk/education-evidence/teaching-learning-toolkit/outdoor-adventure-lear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2A776937BA54FAA4D62C2F6E75653" ma:contentTypeVersion="15" ma:contentTypeDescription="Create a new document." ma:contentTypeScope="" ma:versionID="36db259d2ad67c829b9133e273545ae3">
  <xsd:schema xmlns:xsd="http://www.w3.org/2001/XMLSchema" xmlns:xs="http://www.w3.org/2001/XMLSchema" xmlns:p="http://schemas.microsoft.com/office/2006/metadata/properties" xmlns:ns3="2ca25194-ca10-41de-b622-70082f519b32" xmlns:ns4="0687a4e8-0bd2-4c4f-a082-532be7dad704" targetNamespace="http://schemas.microsoft.com/office/2006/metadata/properties" ma:root="true" ma:fieldsID="5fc2481e4f6f820cb91630ede562efb2" ns3:_="" ns4:_="">
    <xsd:import namespace="2ca25194-ca10-41de-b622-70082f519b32"/>
    <xsd:import namespace="0687a4e8-0bd2-4c4f-a082-532be7dad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AutoTags" minOccurs="0"/>
                <xsd:element ref="ns4:MediaServiceDateTake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25194-ca10-41de-b622-70082f519b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7a4e8-0bd2-4c4f-a082-532be7dad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687a4e8-0bd2-4c4f-a082-532be7dad704" xsi:nil="true"/>
  </documentManagement>
</p:properties>
</file>

<file path=customXml/itemProps1.xml><?xml version="1.0" encoding="utf-8"?>
<ds:datastoreItem xmlns:ds="http://schemas.openxmlformats.org/officeDocument/2006/customXml" ds:itemID="{0CA524C9-4916-49AE-887D-201CFE675CE0}">
  <ds:schemaRefs>
    <ds:schemaRef ds:uri="http://schemas.microsoft.com/sharepoint/v3/contenttype/forms"/>
  </ds:schemaRefs>
</ds:datastoreItem>
</file>

<file path=customXml/itemProps2.xml><?xml version="1.0" encoding="utf-8"?>
<ds:datastoreItem xmlns:ds="http://schemas.openxmlformats.org/officeDocument/2006/customXml" ds:itemID="{5D1A656D-B92B-4589-B509-F92EFFBA5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25194-ca10-41de-b622-70082f519b32"/>
    <ds:schemaRef ds:uri="0687a4e8-0bd2-4c4f-a082-532be7dad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FD88C-CAE6-47E5-AA58-FCB047F167AC}">
  <ds:schemaRef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0687a4e8-0bd2-4c4f-a082-532be7dad704"/>
    <ds:schemaRef ds:uri="2ca25194-ca10-41de-b622-70082f519b3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Headteacher at St.Breward Primary</cp:lastModifiedBy>
  <cp:revision>10</cp:revision>
  <cp:lastPrinted>2014-09-18T05:26:00Z</cp:lastPrinted>
  <dcterms:created xsi:type="dcterms:W3CDTF">2023-11-02T13:42:00Z</dcterms:created>
  <dcterms:modified xsi:type="dcterms:W3CDTF">2023-11-26T09:45:00Z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0x0101001302A776937BA54FAA4D62C2F6E75653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